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37" w:rsidRPr="00786737" w:rsidRDefault="00786737" w:rsidP="000878CB">
      <w:pPr>
        <w:spacing w:after="0" w:line="240" w:lineRule="auto"/>
        <w:ind w:left="0"/>
        <w:jc w:val="center"/>
        <w:outlineLvl w:val="1"/>
        <w:rPr>
          <w:rFonts w:ascii="Tahoma" w:eastAsia="Times New Roman" w:hAnsi="Tahoma" w:cs="Tahoma"/>
          <w:b/>
          <w:bCs/>
          <w:color w:val="1B669D"/>
          <w:kern w:val="36"/>
          <w:sz w:val="27"/>
          <w:szCs w:val="27"/>
          <w:lang w:eastAsia="ru-RU"/>
        </w:rPr>
      </w:pPr>
      <w:r w:rsidRPr="00786737">
        <w:rPr>
          <w:rFonts w:ascii="Tahoma" w:eastAsia="Times New Roman" w:hAnsi="Tahoma" w:cs="Tahoma"/>
          <w:b/>
          <w:bCs/>
          <w:color w:val="1B669D"/>
          <w:kern w:val="36"/>
          <w:sz w:val="27"/>
          <w:szCs w:val="27"/>
          <w:lang w:eastAsia="ru-RU"/>
        </w:rPr>
        <w:t>Информация для потребителей туристских услуг в связи с ситуацией в Турецкой Республике</w:t>
      </w:r>
    </w:p>
    <w:p w:rsidR="00786737" w:rsidRPr="00786737" w:rsidRDefault="00786737" w:rsidP="00786737">
      <w:pPr>
        <w:spacing w:after="0" w:line="240" w:lineRule="auto"/>
        <w:ind w:left="167"/>
        <w:rPr>
          <w:rFonts w:ascii="Arial" w:eastAsia="Times New Roman" w:hAnsi="Arial" w:cs="Arial"/>
          <w:color w:val="1D1D1D"/>
          <w:sz w:val="23"/>
          <w:szCs w:val="23"/>
          <w:lang w:eastAsia="ru-RU"/>
        </w:rPr>
      </w:pPr>
    </w:p>
    <w:p w:rsidR="000878CB" w:rsidRDefault="0015676E" w:rsidP="000878CB">
      <w:pPr>
        <w:spacing w:after="0" w:line="240" w:lineRule="auto"/>
        <w:ind w:left="167"/>
        <w:rPr>
          <w:rFonts w:ascii="Arial" w:eastAsia="Times New Roman" w:hAnsi="Arial" w:cs="Arial"/>
          <w:color w:val="1D1D1D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D1D1D"/>
          <w:sz w:val="23"/>
          <w:szCs w:val="23"/>
          <w:lang w:eastAsia="ru-RU"/>
        </w:rPr>
        <w:t xml:space="preserve">         </w:t>
      </w:r>
      <w:r w:rsidR="00786737" w:rsidRPr="00786737">
        <w:rPr>
          <w:rFonts w:ascii="Arial" w:eastAsia="Times New Roman" w:hAnsi="Arial" w:cs="Arial"/>
          <w:color w:val="1D1D1D"/>
          <w:sz w:val="23"/>
          <w:szCs w:val="23"/>
          <w:lang w:eastAsia="ru-RU"/>
        </w:rPr>
        <w:t xml:space="preserve">Федеральная служба по надзору в сфере защиты прав потребителей и благополучия человека в связи с ситуацией в Турецкой Республике (Турции), прежде всего, сообщает, что по вопросам защиты своих прав потребители могут обращаться на «горячую линию» Роспотребнадзора по телефону 8 800 100 00 04 (в рабочие дни с 10-00 до 17-00). </w:t>
      </w:r>
    </w:p>
    <w:p w:rsidR="000878CB" w:rsidRDefault="000878CB" w:rsidP="000878CB">
      <w:pPr>
        <w:spacing w:after="0" w:line="240" w:lineRule="auto"/>
        <w:ind w:left="167"/>
        <w:rPr>
          <w:rFonts w:ascii="Arial" w:eastAsia="Times New Roman" w:hAnsi="Arial" w:cs="Arial"/>
          <w:color w:val="1D1D1D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D1D1D"/>
          <w:sz w:val="23"/>
          <w:szCs w:val="23"/>
          <w:lang w:eastAsia="ru-RU"/>
        </w:rPr>
        <w:t xml:space="preserve">       </w:t>
      </w:r>
      <w:r w:rsidR="0015676E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  </w:t>
      </w:r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В субъектах Российской Федерации «горячие линии» открыты в территориальных органах Роспотребнадзора, адреса и ссылки на сайты которых размещены по адресу: </w:t>
      </w:r>
      <w:hyperlink r:id="rId5" w:tgtFrame="_blank" w:history="1">
        <w:r w:rsidR="00786737" w:rsidRPr="00786737">
          <w:rPr>
            <w:rFonts w:ascii="Arial" w:eastAsia="Times New Roman" w:hAnsi="Arial" w:cs="Arial"/>
            <w:color w:val="1D85B3"/>
            <w:sz w:val="23"/>
            <w:szCs w:val="23"/>
            <w:lang w:eastAsia="ru-RU"/>
          </w:rPr>
          <w:t>http://rospotrebnadzor.ru/feedback/new.php</w:t>
        </w:r>
      </w:hyperlink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. </w:t>
      </w:r>
    </w:p>
    <w:p w:rsidR="000878CB" w:rsidRPr="00A5722F" w:rsidRDefault="000878CB" w:rsidP="000878CB">
      <w:pPr>
        <w:spacing w:after="0" w:line="240" w:lineRule="auto"/>
        <w:ind w:left="167"/>
        <w:rPr>
          <w:rFonts w:ascii="Arial" w:eastAsia="Times New Roman" w:hAnsi="Arial" w:cs="Arial"/>
          <w:b/>
          <w:color w:val="1D1D1D"/>
          <w:sz w:val="23"/>
          <w:szCs w:val="23"/>
          <w:u w:val="single"/>
          <w:lang w:eastAsia="ru-RU"/>
        </w:rPr>
      </w:pPr>
      <w:r w:rsidRPr="00A5722F">
        <w:rPr>
          <w:rFonts w:ascii="Arial" w:eastAsia="Times New Roman" w:hAnsi="Arial" w:cs="Arial"/>
          <w:b/>
          <w:color w:val="1D1D1D"/>
          <w:sz w:val="23"/>
          <w:szCs w:val="23"/>
          <w:u w:val="single"/>
          <w:lang w:eastAsia="ru-RU"/>
        </w:rPr>
        <w:t xml:space="preserve">         </w:t>
      </w:r>
      <w:r w:rsidR="0015676E" w:rsidRPr="00A5722F"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  <w:t xml:space="preserve"> </w:t>
      </w:r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  <w:t xml:space="preserve">В </w:t>
      </w:r>
      <w:r w:rsidR="0015676E" w:rsidRPr="00A5722F"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  <w:t>Нижнем Новгороде потребители могут получить консультации во ФБУЗ «Центр гигиены и эпидемиологии в Нижегородской области» в Консультационном центре для потребителей.</w:t>
      </w:r>
    </w:p>
    <w:p w:rsidR="00A5722F" w:rsidRDefault="00786737" w:rsidP="00A5722F">
      <w:pPr>
        <w:spacing w:after="0" w:line="240" w:lineRule="auto"/>
        <w:ind w:left="167"/>
        <w:jc w:val="center"/>
        <w:rPr>
          <w:rFonts w:ascii="Arial" w:eastAsia="Times New Roman" w:hAnsi="Arial" w:cs="Arial"/>
          <w:b/>
          <w:color w:val="242424"/>
          <w:sz w:val="36"/>
          <w:szCs w:val="36"/>
          <w:lang w:eastAsia="ru-RU"/>
        </w:rPr>
      </w:pPr>
      <w:r w:rsidRPr="00786737">
        <w:rPr>
          <w:rFonts w:ascii="Arial" w:eastAsia="Times New Roman" w:hAnsi="Arial" w:cs="Arial"/>
          <w:b/>
          <w:color w:val="242424"/>
          <w:sz w:val="36"/>
          <w:szCs w:val="36"/>
          <w:lang w:eastAsia="ru-RU"/>
        </w:rPr>
        <w:t xml:space="preserve">Относительно порядка </w:t>
      </w:r>
    </w:p>
    <w:p w:rsidR="00786737" w:rsidRPr="00786737" w:rsidRDefault="00786737" w:rsidP="00A5722F">
      <w:pPr>
        <w:spacing w:after="0" w:line="240" w:lineRule="auto"/>
        <w:ind w:left="167"/>
        <w:jc w:val="center"/>
        <w:rPr>
          <w:rFonts w:ascii="Arial" w:eastAsia="Times New Roman" w:hAnsi="Arial" w:cs="Arial"/>
          <w:b/>
          <w:color w:val="1D1D1D"/>
          <w:sz w:val="36"/>
          <w:szCs w:val="36"/>
          <w:lang w:eastAsia="ru-RU"/>
        </w:rPr>
      </w:pPr>
      <w:r w:rsidRPr="00786737">
        <w:rPr>
          <w:rFonts w:ascii="Arial" w:eastAsia="Times New Roman" w:hAnsi="Arial" w:cs="Arial"/>
          <w:b/>
          <w:color w:val="242424"/>
          <w:sz w:val="36"/>
          <w:szCs w:val="36"/>
          <w:lang w:eastAsia="ru-RU"/>
        </w:rPr>
        <w:t>защиты прав туристских услуг в связи с ситуацией в Турции необходимо знать следующее.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1F5264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 xml:space="preserve">           </w:t>
      </w:r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>24 ноября 2015 г. Министр иностранных дел России С.В. Лавров в комментарии для СМИ, сделанном в г. Сочи, указал, что «момент, который сегодня также необходимо подчеркнуть, заключается в нарастании террористических угроз, проистекающих с территории Турции.</w:t>
      </w:r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Это безотносительно случая, который произошел сегодня. Накапливается критическая масса террористических проявлений на турецкой территории. По нашей оценке, ничуть не меньше угрозы, чем в Египте. В этой связи, конечно, мы не рекомендуем нашим гражданам направляться на данном этапе в Турецкую Республику с туристическими или какими-либо иными целями».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</w:pPr>
      <w:r w:rsidRPr="001F5264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 xml:space="preserve">          </w:t>
      </w:r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 xml:space="preserve">В тот же день Ростуризм проинформировал через свой официальный сайт </w:t>
      </w:r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о том, что «в связи с заявлением главы МИД России С.В. Лаврова от 24 ноября 2015 года о наличии угрозы терроризма в Турецкой Республике, а также в целях обеспечения безопасности российских туристов, находящихся в настоящее время в Турецкой Республике, </w:t>
      </w:r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>заявляет</w:t>
      </w:r>
      <w:r w:rsidR="009A610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>: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</w:pPr>
      <w:r w:rsidRPr="001F5264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 xml:space="preserve">         </w:t>
      </w:r>
      <w:r w:rsidR="001F5264" w:rsidRPr="001F5264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>«</w:t>
      </w:r>
      <w:r w:rsidRPr="001F5264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 xml:space="preserve"> </w:t>
      </w:r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>В Турецкой Республике сложились обстоятельства, серьезно затрудняющие принятие мер по защите российских граждан и оказание им покровительства со стороны Российской Федерации.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</w:pPr>
      <w:r w:rsidRPr="001F5264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 xml:space="preserve">          </w:t>
      </w:r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>Указанные обстоятельства подтверждены соответствующим заявлением Министра иностранных дел Российской Федерации С.В. Лаврова от 24 ноября 2015 года.</w:t>
      </w:r>
      <w:r w:rsidR="001F5264" w:rsidRPr="001F5264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>»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</w:pPr>
      <w:r w:rsidRPr="001F5264"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  <w:t xml:space="preserve">           </w:t>
      </w:r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  <w:t xml:space="preserve">Согласно </w:t>
      </w:r>
      <w:hyperlink r:id="rId6" w:tgtFrame="_blank" w:history="1">
        <w:r w:rsidR="00786737" w:rsidRPr="00786737">
          <w:rPr>
            <w:rFonts w:ascii="Arial" w:eastAsia="Times New Roman" w:hAnsi="Arial" w:cs="Arial"/>
            <w:b/>
            <w:color w:val="1D85B3"/>
            <w:sz w:val="23"/>
            <w:szCs w:val="23"/>
            <w:u w:val="single"/>
            <w:lang w:eastAsia="ru-RU"/>
          </w:rPr>
          <w:t>статье 14</w:t>
        </w:r>
      </w:hyperlink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  <w:t xml:space="preserve"> Федерального закона от 24 ноября 1996 года № 132-ФЗ «Об основах туристской деятельности в Российской Федерации» данные обстоятельства квалифицируются как угроза безопасности туристов».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           </w:t>
      </w:r>
      <w:r w:rsidR="001F5264" w:rsidRPr="001F5264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 xml:space="preserve">Так же </w:t>
      </w:r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 xml:space="preserve"> особо подчеркивается, что «24 ноября 2015 года, сразу после заявления МИД РФ, в соответствии со своими полномочиями Ростуризм разместил на официальном сайте сообщение о текущих рисках </w:t>
      </w:r>
      <w:proofErr w:type="spellStart"/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>турпоездок</w:t>
      </w:r>
      <w:proofErr w:type="spellEnd"/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 xml:space="preserve"> в Турецкую Республику, а также о праве россиян, купивших путевки в эту страну, требовать расторжения договоров с поставщиками туристических услуг в обстоятельствах, квалифицируемых как угроза безопасности туристов.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           </w:t>
      </w:r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26 ноября 2015 года на официальном сайте опубликовано заявление Министерства иностранных дел России следующего содержания: «В связи с сохраняющимися на территории Турции террористическими угрозами подтверждаем рекомендацию российским гражданам воздерживаться от посещения Турецкой Республики, а находящимся там с личными целями россиянам рекомендуем вернуться на Родину» (</w:t>
      </w:r>
      <w:hyperlink r:id="rId7" w:tgtFrame="_blank" w:history="1">
        <w:r w:rsidR="00786737" w:rsidRPr="00786737">
          <w:rPr>
            <w:rFonts w:ascii="Arial" w:eastAsia="Times New Roman" w:hAnsi="Arial" w:cs="Arial"/>
            <w:color w:val="1D85B3"/>
            <w:sz w:val="23"/>
            <w:szCs w:val="23"/>
            <w:lang w:eastAsia="ru-RU"/>
          </w:rPr>
          <w:t>http://www.mid.ru/press_service/spokesman/official_statement/-/asset_publisher/t2GCdmD8RNIr/content/id/1951864</w:t>
        </w:r>
      </w:hyperlink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). 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</w:pPr>
      <w:r w:rsidRPr="002C5D04"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  <w:lastRenderedPageBreak/>
        <w:t xml:space="preserve">            </w:t>
      </w:r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  <w:t>При указанных обстоятельствах Федеральная служба по надзору в сфере защиты прав потребителей и благополучия человека констатирует факт соблюдения требований статьи 14 от 24 ноября 1996 г. № 132-ФЗ «Об основах туристской деятельности в Российской Федерации» (далее – Закон об основах туристской деятельности), дающих основание потребителям туристских услуг, а также туроператорам (</w:t>
      </w:r>
      <w:proofErr w:type="spellStart"/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  <w:t>турагентам</w:t>
      </w:r>
      <w:proofErr w:type="spellEnd"/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u w:val="single"/>
          <w:lang w:eastAsia="ru-RU"/>
        </w:rPr>
        <w:t>) реализовать свое законное право изменить условия или расторгнуть договор о реализации туристского продукта в судебном порядке из-за ситуации, возникшей в связи с необходимостью обеспечения безопасности граждан Российской Федерации за рубежом (как и в ситуации с отменой рейсов в Арабскую Республику Египет в ноябре 2015 года).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               </w:t>
      </w:r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В связи с вышеизложенным необходимо иметь в виду следующее</w:t>
      </w:r>
      <w:r w:rsidR="000878CB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: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         </w:t>
      </w:r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Правоотношения по договору о реализации туристского продукта в целом регулируются положениями Закона об основах туристской деятельности.</w:t>
      </w:r>
    </w:p>
    <w:p w:rsidR="001F5264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1F5264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 xml:space="preserve">           </w:t>
      </w:r>
      <w:r w:rsidR="00786737" w:rsidRPr="0078673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>Согласно положениям статьи 14 Закона об основах туристской деятельности</w:t>
      </w:r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</w:t>
      </w:r>
    </w:p>
    <w:p w:rsidR="00786737" w:rsidRPr="001F5264" w:rsidRDefault="00786737" w:rsidP="001F5264">
      <w:pPr>
        <w:pStyle w:val="a3"/>
        <w:numPr>
          <w:ilvl w:val="0"/>
          <w:numId w:val="2"/>
        </w:numPr>
        <w:spacing w:before="100" w:beforeAutospacing="1" w:after="167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1F5264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«в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здоровья, а равно опасности причинения вреда их имуществу, турист (экскурсант) и (или) туроператор (</w:t>
      </w:r>
      <w:proofErr w:type="spellStart"/>
      <w:r w:rsidRPr="001F5264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турагент</w:t>
      </w:r>
      <w:proofErr w:type="spellEnd"/>
      <w:r w:rsidRPr="001F5264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) вправе потребовать в судебном порядке изменения договора о реализации туристского продукта или его расторжения.</w:t>
      </w:r>
    </w:p>
    <w:p w:rsidR="00786737" w:rsidRPr="001F5264" w:rsidRDefault="002C5D04" w:rsidP="001F5264">
      <w:pPr>
        <w:pStyle w:val="a3"/>
        <w:numPr>
          <w:ilvl w:val="0"/>
          <w:numId w:val="2"/>
        </w:numPr>
        <w:spacing w:before="100" w:beforeAutospacing="1" w:after="167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1F5264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</w:t>
      </w:r>
      <w:r w:rsidR="00786737" w:rsidRPr="001F5264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Наличие «обстоятельств,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здоровья, а равно опасности причинения вреда их имуществу» подтверждается соответствующими решениями федеральных органов государственной власти, органов государственной власти субъектов Российской Федерации, органов местного самоуправления, принимаемыми в соответствии с федеральными законами».</w:t>
      </w:r>
    </w:p>
    <w:p w:rsidR="00786737" w:rsidRPr="000878CB" w:rsidRDefault="00786737" w:rsidP="000878CB">
      <w:pPr>
        <w:pStyle w:val="a3"/>
        <w:numPr>
          <w:ilvl w:val="0"/>
          <w:numId w:val="2"/>
        </w:numPr>
        <w:spacing w:before="100" w:beforeAutospacing="1" w:after="167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0878CB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«уполномоченный федеральный орган исполнительной власти информирует туроператоров, </w:t>
      </w:r>
      <w:proofErr w:type="spellStart"/>
      <w:r w:rsidRPr="000878CB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турагентов</w:t>
      </w:r>
      <w:proofErr w:type="spellEnd"/>
      <w:r w:rsidRPr="000878CB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и туристов (экскурсантов) об угрозе безопасности туристов (экскурсантов) в стране (месте) временного пребывания, в том числе путем опубликования соответствующих сообщений в государственных средствах массовой информации. Указанное опубликование осуществляется в порядке, предусмотренном законодательством Российской Федерации о средствах массовой информации для опубликования обязательных сообщений».</w:t>
      </w:r>
    </w:p>
    <w:p w:rsidR="000878CB" w:rsidRPr="000878CB" w:rsidRDefault="000878CB" w:rsidP="000878CB">
      <w:pPr>
        <w:pStyle w:val="a3"/>
        <w:numPr>
          <w:ilvl w:val="0"/>
          <w:numId w:val="2"/>
        </w:numPr>
        <w:spacing w:before="100" w:beforeAutospacing="1" w:after="167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0878CB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потребители туристских услуг, принявшие решение о расторжении договора о реализации туристского продукта после начала путешествия (после состоявшегося перелета в Турцию), имеют право требовать в судебном порядке возвращения денежной суммы, уплаченной по договору, «в размере, пропорциональном стоимости не оказанных туристу услуг».</w:t>
      </w:r>
    </w:p>
    <w:p w:rsidR="000878CB" w:rsidRPr="000878CB" w:rsidRDefault="000878CB" w:rsidP="000878CB">
      <w:pPr>
        <w:pStyle w:val="a3"/>
        <w:numPr>
          <w:ilvl w:val="0"/>
          <w:numId w:val="2"/>
        </w:numPr>
        <w:spacing w:before="100" w:beforeAutospacing="1" w:after="167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</w:p>
    <w:p w:rsidR="00786737" w:rsidRPr="00786737" w:rsidRDefault="00786737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</w:pPr>
      <w:r w:rsidRPr="00786737">
        <w:rPr>
          <w:rFonts w:ascii="Arial" w:eastAsia="Times New Roman" w:hAnsi="Arial" w:cs="Arial"/>
          <w:b/>
          <w:color w:val="242424"/>
          <w:sz w:val="23"/>
          <w:szCs w:val="23"/>
          <w:lang w:eastAsia="ru-RU"/>
        </w:rPr>
        <w:t>Указанные выше информационные сообщения являются основанием для наступления правовых последствий, предусмотренных нормами статьи 14 Закона об основах туристской деятельности.</w:t>
      </w:r>
    </w:p>
    <w:p w:rsidR="00786737" w:rsidRPr="00786737" w:rsidRDefault="00786737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Так, потребители туристских услуг, срок предоставления которых не наступил, принявшие в связи с наступлением вышеуказанных обстоятельств решение о расторжении договора о реализации туристского продукта до начала путешествия, имеют право требовать в судебном порядке возвращения 100% денежной суммы, уплаченной по договору, на что прямо указывается в абзаце 5 статьи 14 Закона об основах туристской деятельности. </w:t>
      </w:r>
    </w:p>
    <w:p w:rsidR="00786737" w:rsidRPr="00786737" w:rsidRDefault="002C5D04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            </w:t>
      </w:r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Очевидно, что в указанную категорию попадают и те потребители туристских услуг, которые не смогли улететь в Турцию, начиная с 24 ноября 2015 года (после соответствующего комментария для СМИ Министра иностранных дел России С.В. Лаврова), независимо от того обстоятельства, прибыли или не прибыли туристы в аэропорт для путешествия. Поэтому с учетом специфики конкретной рассматриваемой ситуации неявку туриста (туристов) в аэропорт, равно как и </w:t>
      </w:r>
      <w:proofErr w:type="spellStart"/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невылет</w:t>
      </w:r>
      <w:proofErr w:type="spellEnd"/>
      <w:r w:rsidR="00786737"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 xml:space="preserve"> явившихся для путешествия туристов можно рассматривать как форму заявления о расторжении договора посредством совершения конклюдентных действий со стороны туриста (туристов) и туроператора соответственно.</w:t>
      </w:r>
    </w:p>
    <w:p w:rsidR="00786737" w:rsidRPr="00786737" w:rsidRDefault="00786737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lastRenderedPageBreak/>
        <w:t>Изменение условий договора о реализации туристского продукта судом возможна лишь при наличии одновременно следующих условий (пункт 2 статьи 451 ГК РФ):</w:t>
      </w:r>
    </w:p>
    <w:p w:rsidR="00786737" w:rsidRPr="00786737" w:rsidRDefault="00786737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1) в момент заключения договора стороны исходили из того, что такого изменения обстоятельств не произойдет;</w:t>
      </w:r>
    </w:p>
    <w:p w:rsidR="00786737" w:rsidRPr="00786737" w:rsidRDefault="00786737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2) изменение обстоятельств вызвано причинами, которые заинтересованная сторона не могла преодолеть после их возникновения при той степени заботливости и осмотрительности, какая от нее требовалась по характеру договора и условиям оборота;</w:t>
      </w:r>
    </w:p>
    <w:p w:rsidR="00786737" w:rsidRPr="00786737" w:rsidRDefault="00786737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3)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ущерб, что она в значительной степени лишилась бы того, на что была вправе рассчитывать при заключении договора;</w:t>
      </w:r>
    </w:p>
    <w:p w:rsidR="00786737" w:rsidRPr="00786737" w:rsidRDefault="00786737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4) из обычаев делового оборота или существа договора не вытекает, что риск изменения обстоятельств несет заинтересованная сторона.</w:t>
      </w:r>
    </w:p>
    <w:p w:rsidR="00786737" w:rsidRPr="00786737" w:rsidRDefault="00786737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Кроме того, необходимо иметь в виду, что статья 451 ГК РФ предусматривает исключительно гражданско-правовой (</w:t>
      </w:r>
      <w:proofErr w:type="spellStart"/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претензионно-исковый</w:t>
      </w:r>
      <w:proofErr w:type="spellEnd"/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) порядок изменения и расторжения договора в связи с существенным изменением обстоятельств. В этой связи принципиально важным является соблюдение по смыслу нормы пункта 2 статьи 451 ГК РФ обязательного претензионного (досудебного) порядка в таких случаях, т.е. необходима попытка со стороны туроператора (</w:t>
      </w:r>
      <w:proofErr w:type="spellStart"/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турагента</w:t>
      </w:r>
      <w:proofErr w:type="spellEnd"/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) досудебного достижения соглашения с потребителей (заказчиком) о приведении договора о реализации туристского продукта в соответствие с существенно изменившимися обстоятельствами или о его расторжении.</w:t>
      </w:r>
    </w:p>
    <w:p w:rsidR="00786737" w:rsidRPr="00786737" w:rsidRDefault="00786737" w:rsidP="00786737">
      <w:pPr>
        <w:spacing w:before="100" w:beforeAutospacing="1" w:after="167" w:line="240" w:lineRule="auto"/>
        <w:ind w:left="167"/>
        <w:jc w:val="both"/>
        <w:rPr>
          <w:rFonts w:ascii="Arial" w:eastAsia="Times New Roman" w:hAnsi="Arial" w:cs="Arial"/>
          <w:color w:val="242424"/>
          <w:sz w:val="23"/>
          <w:szCs w:val="23"/>
          <w:lang w:eastAsia="ru-RU"/>
        </w:rPr>
      </w:pPr>
      <w:r w:rsidRPr="00786737">
        <w:rPr>
          <w:rFonts w:ascii="Arial" w:eastAsia="Times New Roman" w:hAnsi="Arial" w:cs="Arial"/>
          <w:color w:val="242424"/>
          <w:sz w:val="23"/>
          <w:szCs w:val="23"/>
          <w:lang w:eastAsia="ru-RU"/>
        </w:rPr>
        <w:t>В соответствии с положениями пунктом 7 части 2 статьи 131 Гражданского процессуального кодекса Российской Федерации (далее – ГПК РФ) «сведения о соблюдении досудебного порядка обращения к ответчику, если это установлено федеральным законом или предусмотрено договором сторон», являются обязательным при предъявлении иска. Несоблюдение досудебного порядка урегулирования спора либо не представление истцом документов, подтверждающих соблюдение досудебного порядка урегулирования спора с ответчиком, влекут возвращение искового заявления на основании пункта 1 части 1 статьи 135 ГПК РФ.</w:t>
      </w:r>
    </w:p>
    <w:p w:rsidR="002614EC" w:rsidRDefault="002614EC" w:rsidP="002614EC">
      <w:pPr>
        <w:spacing w:after="0" w:line="240" w:lineRule="auto"/>
        <w:ind w:left="0"/>
        <w:jc w:val="center"/>
        <w:rPr>
          <w:sz w:val="24"/>
          <w:szCs w:val="24"/>
        </w:rPr>
      </w:pPr>
    </w:p>
    <w:p w:rsidR="002614EC" w:rsidRDefault="002614EC" w:rsidP="002614EC">
      <w:pPr>
        <w:spacing w:after="0" w:line="240" w:lineRule="auto"/>
        <w:ind w:left="0"/>
        <w:jc w:val="center"/>
        <w:rPr>
          <w:sz w:val="24"/>
          <w:szCs w:val="24"/>
        </w:rPr>
      </w:pPr>
    </w:p>
    <w:p w:rsidR="002614EC" w:rsidRDefault="002614EC" w:rsidP="002614EC">
      <w:pPr>
        <w:spacing w:after="0" w:line="240" w:lineRule="auto"/>
        <w:ind w:left="0"/>
        <w:jc w:val="center"/>
        <w:rPr>
          <w:sz w:val="24"/>
          <w:szCs w:val="24"/>
        </w:rPr>
      </w:pPr>
    </w:p>
    <w:p w:rsidR="002614EC" w:rsidRDefault="002614EC" w:rsidP="002614EC">
      <w:pPr>
        <w:spacing w:after="0" w:line="240" w:lineRule="auto"/>
        <w:ind w:left="0"/>
        <w:jc w:val="center"/>
        <w:rPr>
          <w:sz w:val="24"/>
          <w:szCs w:val="24"/>
        </w:rPr>
      </w:pPr>
    </w:p>
    <w:p w:rsidR="002614EC" w:rsidRDefault="002614EC" w:rsidP="002614EC">
      <w:pPr>
        <w:spacing w:after="0" w:line="240" w:lineRule="auto"/>
        <w:ind w:left="0"/>
        <w:jc w:val="center"/>
        <w:rPr>
          <w:sz w:val="24"/>
          <w:szCs w:val="24"/>
        </w:rPr>
      </w:pPr>
    </w:p>
    <w:p w:rsidR="002614EC" w:rsidRPr="007C07B5" w:rsidRDefault="002614EC" w:rsidP="002614EC">
      <w:pPr>
        <w:spacing w:after="0" w:line="240" w:lineRule="auto"/>
        <w:ind w:left="0"/>
        <w:jc w:val="center"/>
        <w:rPr>
          <w:sz w:val="24"/>
          <w:szCs w:val="24"/>
        </w:rPr>
      </w:pPr>
      <w:r w:rsidRPr="007C07B5">
        <w:rPr>
          <w:sz w:val="24"/>
          <w:szCs w:val="24"/>
        </w:rPr>
        <w:t>За дополнительной информацией Вы можете обратиться</w:t>
      </w:r>
    </w:p>
    <w:p w:rsidR="002614EC" w:rsidRPr="007C07B5" w:rsidRDefault="002614EC" w:rsidP="002614EC">
      <w:pPr>
        <w:spacing w:after="0" w:line="240" w:lineRule="auto"/>
        <w:ind w:left="0"/>
        <w:jc w:val="center"/>
        <w:rPr>
          <w:sz w:val="24"/>
          <w:szCs w:val="24"/>
        </w:rPr>
      </w:pPr>
      <w:r w:rsidRPr="007C07B5">
        <w:rPr>
          <w:sz w:val="24"/>
          <w:szCs w:val="24"/>
        </w:rPr>
        <w:t xml:space="preserve">в Консультационный Центр для потребителей ФБУЗ «Центр гигиены и эпидемиологии в Нижегородской области» </w:t>
      </w:r>
    </w:p>
    <w:p w:rsidR="002614EC" w:rsidRPr="007C07B5" w:rsidRDefault="002614EC" w:rsidP="002614EC">
      <w:pPr>
        <w:spacing w:after="0" w:line="240" w:lineRule="auto"/>
        <w:ind w:left="0"/>
        <w:jc w:val="center"/>
        <w:rPr>
          <w:sz w:val="24"/>
          <w:szCs w:val="24"/>
        </w:rPr>
      </w:pPr>
      <w:r w:rsidRPr="007C07B5">
        <w:rPr>
          <w:sz w:val="24"/>
          <w:szCs w:val="24"/>
        </w:rPr>
        <w:t>к Печинкиной Татьяне Евгеньевне – 831 437-08-70</w:t>
      </w:r>
    </w:p>
    <w:p w:rsidR="00786737" w:rsidRPr="00786737" w:rsidRDefault="00786737" w:rsidP="00786737">
      <w:pPr>
        <w:spacing w:after="240" w:line="240" w:lineRule="auto"/>
        <w:ind w:left="167"/>
        <w:rPr>
          <w:rFonts w:ascii="Arial" w:eastAsia="Times New Roman" w:hAnsi="Arial" w:cs="Arial"/>
          <w:color w:val="1D1D1D"/>
          <w:sz w:val="23"/>
          <w:szCs w:val="23"/>
          <w:lang w:eastAsia="ru-RU"/>
        </w:rPr>
      </w:pPr>
    </w:p>
    <w:sectPr w:rsidR="00786737" w:rsidRPr="00786737" w:rsidSect="000878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CB5"/>
    <w:multiLevelType w:val="hybridMultilevel"/>
    <w:tmpl w:val="9C18E528"/>
    <w:lvl w:ilvl="0" w:tplc="7DB87966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">
    <w:nsid w:val="5C5C7459"/>
    <w:multiLevelType w:val="multilevel"/>
    <w:tmpl w:val="168E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86737"/>
    <w:rsid w:val="000260C4"/>
    <w:rsid w:val="000878CB"/>
    <w:rsid w:val="000C1D0E"/>
    <w:rsid w:val="000F39C9"/>
    <w:rsid w:val="0015676E"/>
    <w:rsid w:val="001A5275"/>
    <w:rsid w:val="001F5264"/>
    <w:rsid w:val="00252B34"/>
    <w:rsid w:val="002614EC"/>
    <w:rsid w:val="00271948"/>
    <w:rsid w:val="00273CE9"/>
    <w:rsid w:val="002C5D04"/>
    <w:rsid w:val="003C4826"/>
    <w:rsid w:val="005779D9"/>
    <w:rsid w:val="00786737"/>
    <w:rsid w:val="00804290"/>
    <w:rsid w:val="008E7C74"/>
    <w:rsid w:val="0098768D"/>
    <w:rsid w:val="009A6107"/>
    <w:rsid w:val="00A5722F"/>
    <w:rsid w:val="00A9610B"/>
    <w:rsid w:val="00B36165"/>
    <w:rsid w:val="00C44A8D"/>
    <w:rsid w:val="00E11B83"/>
    <w:rsid w:val="00EA4F7A"/>
    <w:rsid w:val="00F214D2"/>
    <w:rsid w:val="00F4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2">
    <w:name w:val="date2"/>
    <w:basedOn w:val="a"/>
    <w:rsid w:val="00786737"/>
    <w:pPr>
      <w:spacing w:before="67" w:after="67" w:line="240" w:lineRule="auto"/>
      <w:ind w:left="0"/>
      <w:jc w:val="both"/>
    </w:pPr>
    <w:rPr>
      <w:rFonts w:ascii="Times New Roman" w:eastAsia="Times New Roman" w:hAnsi="Times New Roman" w:cs="Times New Roman"/>
      <w:i/>
      <w:iCs/>
      <w:color w:val="7B7B7B"/>
      <w:lang w:eastAsia="ru-RU"/>
    </w:rPr>
  </w:style>
  <w:style w:type="paragraph" w:styleId="a3">
    <w:name w:val="List Paragraph"/>
    <w:basedOn w:val="a"/>
    <w:uiPriority w:val="34"/>
    <w:qFormat/>
    <w:rsid w:val="001F5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1197">
          <w:marLeft w:val="17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857">
              <w:marLeft w:val="84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2706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7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www.mid.ru%252Fpress_service%252Fspokesman%252Fofficial_statement%252F-%252Fasset_publisher%252Ft2GCdmD8RNIr%252Fcontent%252Fid%252F1951864%26ts%3D1448551947%26uid%3D5281332271443102197&amp;sign=c0a8de45999b9b1826f70ec9292cb180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consultantplus%253A%252F%252Foffline%252Fref%253D518DD2CC31DA19CC837E8AA6F8667FCAAA742CFA14F05749CCCFBA92BD875C2D0A4AAF4B97R51EP%26ts%3D1448551947%26uid%3D5281332271443102197&amp;sign=017f6efbb69167dcfdce654cd0aad6f7&amp;keyno=1" TargetMode="External"/><Relationship Id="rId5" Type="http://schemas.openxmlformats.org/officeDocument/2006/relationships/hyperlink" Target="http://clck.yandex.ru/redir/dv/*data=url%3Dhttp%253A%252F%252Frospotrebnadzor.ru%252Ffeedback%252Fnew.php%26ts%3D1448551947%26uid%3D5281332271443102197&amp;sign=2e767be8ad35d96b8e04658b872baef6&amp;keyno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2015-12-14T07:44:00Z</dcterms:created>
  <dcterms:modified xsi:type="dcterms:W3CDTF">2015-12-14T10:25:00Z</dcterms:modified>
</cp:coreProperties>
</file>