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</w:rPr>
      </w:pPr>
      <w:r w:rsidRPr="00A72DC8">
        <w:rPr>
          <w:bCs/>
          <w:color w:val="000000"/>
          <w:sz w:val="32"/>
          <w:szCs w:val="32"/>
        </w:rPr>
        <w:t>ФЕДЕРАЛЬНАЯ СЛУЖБА ПО НАДЗОРУ В СФЕРЕ ЗАЩИТЫ ПРАВ ПОТРЕБИТЕЛЕЙ И БЛАГОПОЛУЧИЯ ЧЕЛОВЕКА</w:t>
      </w: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A72DC8">
        <w:rPr>
          <w:bCs/>
          <w:color w:val="000000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Нижегородской области</w:t>
      </w: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A72DC8">
        <w:rPr>
          <w:b/>
          <w:bCs/>
          <w:color w:val="000000"/>
          <w:sz w:val="40"/>
          <w:szCs w:val="40"/>
        </w:rPr>
        <w:t>ДОКЛАД</w:t>
      </w: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A72DC8">
        <w:rPr>
          <w:b/>
          <w:bCs/>
          <w:color w:val="000000"/>
          <w:sz w:val="40"/>
          <w:szCs w:val="40"/>
        </w:rPr>
        <w:t>по правоприменительной практике Управления Федеральной службы по надзору в сфере защиты прав потребителей и благополучия человека по Нижегородской области</w:t>
      </w:r>
    </w:p>
    <w:p w:rsidR="00DF6CFE" w:rsidRPr="00A72DC8" w:rsidRDefault="00DF6CFE" w:rsidP="00DF6CFE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A72DC8">
        <w:rPr>
          <w:b/>
          <w:bCs/>
          <w:color w:val="000000"/>
          <w:sz w:val="40"/>
          <w:szCs w:val="40"/>
        </w:rPr>
        <w:t>за 20</w:t>
      </w:r>
      <w:r>
        <w:rPr>
          <w:b/>
          <w:bCs/>
          <w:color w:val="000000"/>
          <w:sz w:val="40"/>
          <w:szCs w:val="40"/>
        </w:rPr>
        <w:t>2</w:t>
      </w:r>
      <w:r w:rsidR="00A05F65">
        <w:rPr>
          <w:b/>
          <w:bCs/>
          <w:color w:val="000000"/>
          <w:sz w:val="40"/>
          <w:szCs w:val="40"/>
        </w:rPr>
        <w:t>4</w:t>
      </w:r>
      <w:r w:rsidRPr="00A72DC8">
        <w:rPr>
          <w:b/>
          <w:bCs/>
          <w:color w:val="000000"/>
          <w:sz w:val="40"/>
          <w:szCs w:val="40"/>
        </w:rPr>
        <w:t xml:space="preserve"> года</w:t>
      </w: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both"/>
        <w:rPr>
          <w:b/>
          <w:bCs/>
          <w:color w:val="000000"/>
          <w:sz w:val="28"/>
          <w:szCs w:val="28"/>
        </w:rPr>
      </w:pPr>
    </w:p>
    <w:p w:rsidR="00DF6CFE" w:rsidRDefault="00DF6CFE" w:rsidP="00DF6CFE">
      <w:pPr>
        <w:ind w:right="42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</w:t>
      </w:r>
      <w:r w:rsidR="00A05F65">
        <w:rPr>
          <w:b/>
          <w:bCs/>
          <w:color w:val="000000"/>
          <w:sz w:val="28"/>
          <w:szCs w:val="28"/>
        </w:rPr>
        <w:t>5</w:t>
      </w:r>
    </w:p>
    <w:p w:rsidR="00DC5BBE" w:rsidRDefault="00DC5BBE"/>
    <w:p w:rsidR="00A05F65" w:rsidRDefault="00A05F65"/>
    <w:p w:rsidR="00A05F65" w:rsidRPr="00A05F65" w:rsidRDefault="00A05F65" w:rsidP="00A05F65">
      <w:pPr>
        <w:jc w:val="center"/>
        <w:rPr>
          <w:b/>
          <w:sz w:val="28"/>
          <w:szCs w:val="28"/>
        </w:rPr>
      </w:pPr>
    </w:p>
    <w:p w:rsidR="00A05F65" w:rsidRPr="00A05F65" w:rsidRDefault="00A05F65" w:rsidP="00A05F65">
      <w:pPr>
        <w:tabs>
          <w:tab w:val="left" w:pos="709"/>
        </w:tabs>
        <w:spacing w:line="480" w:lineRule="auto"/>
        <w:ind w:firstLine="708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Реализация контрольной (надзорной) и правоприменительной деятельности в 2024 г. осуществлялась Управлением Роспотребнадзора по Нижегородской области в условиях  ограничений на проведение контрольных (надзорных) мероприятий, а также особенностей порядка привлечения к административной ответственности.</w:t>
      </w:r>
    </w:p>
    <w:p w:rsidR="00A05F65" w:rsidRPr="00A05F65" w:rsidRDefault="00A05F65" w:rsidP="00A05F65">
      <w:pPr>
        <w:autoSpaceDE w:val="0"/>
        <w:autoSpaceDN w:val="0"/>
        <w:adjustRightInd w:val="0"/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За 2024 год должностными лицами Управления было составлено 1939 протоколов об административных правонарушениях, что на 11,1% меньше количества протоколов, составленных должностными лицами Управления  за 2023 год. </w:t>
      </w:r>
    </w:p>
    <w:p w:rsidR="00A05F65" w:rsidRPr="00A05F65" w:rsidRDefault="00A05F65" w:rsidP="00A05F65">
      <w:pPr>
        <w:autoSpaceDE w:val="0"/>
        <w:autoSpaceDN w:val="0"/>
        <w:adjustRightInd w:val="0"/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Количество возбужденных административных дел в сегменте санитарно-эпидемиологического законодательства составило 1793 протокола (92,5%) (в 2023 г. – 2146 (98,4%), в 2022 г. – 3314 (95,3%)): </w:t>
      </w:r>
    </w:p>
    <w:p w:rsidR="00A05F65" w:rsidRPr="00A05F65" w:rsidRDefault="00A05F65" w:rsidP="00A05F65">
      <w:pPr>
        <w:pStyle w:val="a5"/>
        <w:numPr>
          <w:ilvl w:val="0"/>
          <w:numId w:val="3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в области деятельности детских и подростковых организаций – 36,1% (647) (в 2023 г. – 32,7% (702), в 2022 г. – 68,7% (2277));</w:t>
      </w:r>
    </w:p>
    <w:p w:rsidR="00A05F65" w:rsidRPr="00A05F65" w:rsidRDefault="00A05F65" w:rsidP="00A05F65">
      <w:pPr>
        <w:pStyle w:val="a5"/>
        <w:numPr>
          <w:ilvl w:val="0"/>
          <w:numId w:val="3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в области деятельности объектов коммунальной гигиены – 20,6% (369) (в 2023 г. – 15,8% (339), в 2022 г. – 8,5% (281));</w:t>
      </w:r>
    </w:p>
    <w:p w:rsidR="00A05F65" w:rsidRPr="00A05F65" w:rsidRDefault="00A05F65" w:rsidP="00A05F65">
      <w:pPr>
        <w:pStyle w:val="a5"/>
        <w:numPr>
          <w:ilvl w:val="0"/>
          <w:numId w:val="3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в сфере торговли продуктами питания – 18,5% (332) (в 2023 г. – 16,4% (325), в 2022 г. – 12,5% (416));</w:t>
      </w:r>
    </w:p>
    <w:p w:rsidR="00A05F65" w:rsidRPr="00A05F65" w:rsidRDefault="00A05F65" w:rsidP="00A05F65">
      <w:pPr>
        <w:pStyle w:val="a5"/>
        <w:numPr>
          <w:ilvl w:val="0"/>
          <w:numId w:val="3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в сфере общественного питания – 8,7% (156) (в 2023 г. – 7,3% (171), в 2022 г. – 2,9% (95));</w:t>
      </w:r>
    </w:p>
    <w:p w:rsidR="00A05F65" w:rsidRPr="00A05F65" w:rsidRDefault="00A05F65" w:rsidP="00A05F65">
      <w:pPr>
        <w:pStyle w:val="a5"/>
        <w:numPr>
          <w:ilvl w:val="0"/>
          <w:numId w:val="3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в области здравоохранения – 6,1% (110) (в 2023 г. – 19,4% (417), в 2022 г. – 3,1% (103)); </w:t>
      </w:r>
    </w:p>
    <w:p w:rsidR="00A05F65" w:rsidRPr="00A05F65" w:rsidRDefault="00A05F65" w:rsidP="00A05F65">
      <w:pPr>
        <w:pStyle w:val="a5"/>
        <w:numPr>
          <w:ilvl w:val="0"/>
          <w:numId w:val="3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lastRenderedPageBreak/>
        <w:t>в сфере производства пищевых продуктов – 5,9% (105) (в 2023 г. – 4,5% (97), в 2022 г. – 1,9% (64));</w:t>
      </w:r>
    </w:p>
    <w:p w:rsidR="00A05F65" w:rsidRPr="00A05F65" w:rsidRDefault="00A05F65" w:rsidP="00A05F65">
      <w:pPr>
        <w:pStyle w:val="a5"/>
        <w:numPr>
          <w:ilvl w:val="0"/>
          <w:numId w:val="3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в области деятельности промышленных предприятий – 2,8% (51) (в 2023 г. – 2,5% (53), в 2022 г. – 1,4% (46));</w:t>
      </w:r>
    </w:p>
    <w:p w:rsidR="00A05F65" w:rsidRPr="00A05F65" w:rsidRDefault="00A05F65" w:rsidP="00A05F65">
      <w:pPr>
        <w:pStyle w:val="a5"/>
        <w:numPr>
          <w:ilvl w:val="0"/>
          <w:numId w:val="3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в сфере транспорта – 0,2% (4) (в 2023 г. – 1% (22), в 2022 г. – 0,8% (27)).</w:t>
      </w:r>
    </w:p>
    <w:p w:rsidR="00A05F65" w:rsidRPr="00A05F65" w:rsidRDefault="00A05F65" w:rsidP="00A05F65">
      <w:pPr>
        <w:pStyle w:val="a5"/>
        <w:spacing w:line="480" w:lineRule="auto"/>
        <w:ind w:left="709"/>
        <w:jc w:val="both"/>
        <w:rPr>
          <w:sz w:val="28"/>
          <w:szCs w:val="28"/>
        </w:rPr>
      </w:pPr>
    </w:p>
    <w:p w:rsidR="00A05F65" w:rsidRPr="00A05F65" w:rsidRDefault="00A05F65" w:rsidP="00A05F65">
      <w:pPr>
        <w:spacing w:line="48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5F65">
        <w:rPr>
          <w:sz w:val="28"/>
          <w:szCs w:val="28"/>
        </w:rPr>
        <w:t xml:space="preserve">По результатам правоприменительной практики особенной части Кодекса РФ об административных правонарушениях должностными лицами Управления в 2024 г. было применено 39 административных составов (в 2023 г. – 38). Среди наиболее часто применяемых составов выделяются </w:t>
      </w:r>
      <w:proofErr w:type="gramStart"/>
      <w:r w:rsidRPr="00A05F65">
        <w:rPr>
          <w:sz w:val="28"/>
          <w:szCs w:val="28"/>
        </w:rPr>
        <w:t>ч</w:t>
      </w:r>
      <w:proofErr w:type="gramEnd"/>
      <w:r w:rsidRPr="00A05F65">
        <w:rPr>
          <w:sz w:val="28"/>
          <w:szCs w:val="28"/>
        </w:rPr>
        <w:t xml:space="preserve">.1 ст.6.3 (23,1%), ч.1 ст.6.7 (21,8%), ст.6.6 (11,7%), ч.1 ст.14.3 (10,6%), ч.2 ст.14.43 (8,7%),  ст.6.4 (6,5%), ст.6.5 (4,3%) </w:t>
      </w:r>
      <w:proofErr w:type="spellStart"/>
      <w:r w:rsidRPr="00A05F65">
        <w:rPr>
          <w:sz w:val="28"/>
          <w:szCs w:val="28"/>
        </w:rPr>
        <w:t>КоАП</w:t>
      </w:r>
      <w:proofErr w:type="spellEnd"/>
      <w:r w:rsidRPr="00A05F65">
        <w:rPr>
          <w:sz w:val="28"/>
          <w:szCs w:val="28"/>
        </w:rPr>
        <w:t xml:space="preserve"> РФ.</w:t>
      </w:r>
    </w:p>
    <w:p w:rsidR="00A05F65" w:rsidRPr="00A05F65" w:rsidRDefault="00A05F65" w:rsidP="00A05F65">
      <w:pPr>
        <w:tabs>
          <w:tab w:val="left" w:pos="709"/>
        </w:tabs>
        <w:spacing w:line="480" w:lineRule="auto"/>
        <w:jc w:val="both"/>
        <w:rPr>
          <w:sz w:val="28"/>
          <w:szCs w:val="28"/>
          <w:highlight w:val="green"/>
        </w:rPr>
      </w:pPr>
      <w:r w:rsidRPr="00A05F65">
        <w:rPr>
          <w:sz w:val="28"/>
          <w:szCs w:val="28"/>
        </w:rPr>
        <w:tab/>
        <w:t xml:space="preserve">Особое внимание продолжалось уделяться работе по </w:t>
      </w:r>
      <w:proofErr w:type="spellStart"/>
      <w:r w:rsidRPr="00A05F65">
        <w:rPr>
          <w:sz w:val="28"/>
          <w:szCs w:val="28"/>
        </w:rPr>
        <w:t>правоприменению</w:t>
      </w:r>
      <w:proofErr w:type="spellEnd"/>
      <w:r w:rsidRPr="00A05F65">
        <w:rPr>
          <w:sz w:val="28"/>
          <w:szCs w:val="28"/>
        </w:rPr>
        <w:t xml:space="preserve"> составов Кодекса РФ об административных правонарушениях в сфере технического регулирования. </w:t>
      </w:r>
    </w:p>
    <w:p w:rsidR="00A05F65" w:rsidRPr="00A05F65" w:rsidRDefault="00A05F65" w:rsidP="00A05F65">
      <w:pPr>
        <w:tabs>
          <w:tab w:val="left" w:pos="993"/>
        </w:tabs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За 2024 г. по факту нарушений требований технических регламентов (ст.ст.14.43-14.46.2 </w:t>
      </w:r>
      <w:proofErr w:type="spellStart"/>
      <w:r w:rsidRPr="00A05F65">
        <w:rPr>
          <w:sz w:val="28"/>
          <w:szCs w:val="28"/>
        </w:rPr>
        <w:t>КоАП</w:t>
      </w:r>
      <w:proofErr w:type="spellEnd"/>
      <w:r w:rsidRPr="00A05F65">
        <w:rPr>
          <w:sz w:val="28"/>
          <w:szCs w:val="28"/>
        </w:rPr>
        <w:t xml:space="preserve"> РФ) было возбуждено 375 дел об административных правонарушениях (19,3% от общего количества протоколов), наложено 353 административных штрафа непосредственно Управлением и 5 штрафов судом по материалам Управления. Общая сумма штрафов наложенных Управлением за нарушения требований технических </w:t>
      </w:r>
      <w:r w:rsidRPr="00A05F65">
        <w:rPr>
          <w:sz w:val="28"/>
          <w:szCs w:val="28"/>
        </w:rPr>
        <w:lastRenderedPageBreak/>
        <w:t>регламентов составила 5 616 000 рублей, судом – 543 000</w:t>
      </w:r>
      <w:r w:rsidRPr="00A05F65">
        <w:rPr>
          <w:b/>
          <w:bCs/>
          <w:sz w:val="28"/>
          <w:szCs w:val="28"/>
        </w:rPr>
        <w:t xml:space="preserve"> </w:t>
      </w:r>
      <w:r w:rsidRPr="00A05F65">
        <w:rPr>
          <w:sz w:val="28"/>
          <w:szCs w:val="28"/>
        </w:rPr>
        <w:t xml:space="preserve">рублей. Кроме того, было вынесено 12 предупреждений (3,3% от общего количества наказаний в сфере технического регулирования). </w:t>
      </w:r>
    </w:p>
    <w:p w:rsidR="00A05F65" w:rsidRPr="00A05F65" w:rsidRDefault="00A05F65" w:rsidP="00A05F65">
      <w:pPr>
        <w:tabs>
          <w:tab w:val="left" w:pos="993"/>
        </w:tabs>
        <w:spacing w:line="480" w:lineRule="auto"/>
        <w:ind w:firstLine="709"/>
        <w:jc w:val="both"/>
        <w:rPr>
          <w:sz w:val="28"/>
          <w:szCs w:val="28"/>
          <w:highlight w:val="yellow"/>
        </w:rPr>
      </w:pPr>
      <w:r w:rsidRPr="00A05F65">
        <w:rPr>
          <w:sz w:val="28"/>
          <w:szCs w:val="28"/>
        </w:rPr>
        <w:t>Доля составленных по указанным составам протоколов об административных правонарушениях в отношении юридических лиц составила 4,8% (18) (в 2023 г. – 4,4% (16)), индивидуальных предпринимателей – 8,3% (31) (в 2023 г. – 3,6% (13)), должностных лиц – 69,6% (261) (в 2023 г. – 70,9% (259)), граждан – 17,3% (65) (в 2023 г. – 21,1% (77)).</w:t>
      </w:r>
    </w:p>
    <w:p w:rsidR="00A05F65" w:rsidRPr="00A05F65" w:rsidRDefault="00A05F65" w:rsidP="00A05F65">
      <w:pPr>
        <w:tabs>
          <w:tab w:val="left" w:pos="993"/>
        </w:tabs>
        <w:spacing w:line="48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5F65">
        <w:rPr>
          <w:sz w:val="28"/>
          <w:szCs w:val="28"/>
        </w:rPr>
        <w:t xml:space="preserve">Для сравнения, </w:t>
      </w:r>
      <w:r w:rsidRPr="00A05F65">
        <w:rPr>
          <w:rFonts w:eastAsiaTheme="minorHAnsi"/>
          <w:sz w:val="28"/>
          <w:szCs w:val="28"/>
          <w:lang w:eastAsia="en-US"/>
        </w:rPr>
        <w:t xml:space="preserve"> за 2023 год Управлением в сфере технического регулирования было возбуждено 365 дел (</w:t>
      </w:r>
      <w:r w:rsidRPr="00A05F65">
        <w:rPr>
          <w:sz w:val="28"/>
          <w:szCs w:val="28"/>
        </w:rPr>
        <w:t>16,7% от общего количества протоколов), по которым Управлением наложено 329 штрафа на сумму 4 464 000 рублей, судом – 6 штрафов на сумму 440 000 рублей, а также вынесено 23 предупреждения (6,5%).</w:t>
      </w:r>
    </w:p>
    <w:p w:rsidR="00A05F65" w:rsidRPr="00A05F65" w:rsidRDefault="00A05F65" w:rsidP="00A05F65">
      <w:pPr>
        <w:tabs>
          <w:tab w:val="left" w:pos="993"/>
        </w:tabs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Таким образом, доля возбужденных дел об административных правонарушениях за нарушения технических регламентов по сравнению с прошлым годом увеличилась на 2,6%. Подобная тенденция сохраняется в течение последних двух лет. При этом  соотношение  доли протоколов, составленных в  отношении юридических и должностных лиц, осталось на уровне прошлого года.</w:t>
      </w:r>
    </w:p>
    <w:p w:rsidR="00A05F65" w:rsidRPr="00A05F65" w:rsidRDefault="00A05F65" w:rsidP="00A05F65">
      <w:pPr>
        <w:tabs>
          <w:tab w:val="left" w:pos="993"/>
        </w:tabs>
        <w:spacing w:line="480" w:lineRule="auto"/>
        <w:ind w:firstLine="709"/>
        <w:jc w:val="both"/>
        <w:rPr>
          <w:sz w:val="28"/>
          <w:szCs w:val="28"/>
        </w:rPr>
      </w:pPr>
      <w:proofErr w:type="gramStart"/>
      <w:r w:rsidRPr="00A05F65">
        <w:rPr>
          <w:sz w:val="28"/>
          <w:szCs w:val="28"/>
        </w:rPr>
        <w:t xml:space="preserve">Наиболее применяемыми составами </w:t>
      </w:r>
      <w:proofErr w:type="spellStart"/>
      <w:r w:rsidRPr="00A05F65">
        <w:rPr>
          <w:sz w:val="28"/>
          <w:szCs w:val="28"/>
        </w:rPr>
        <w:t>КоАП</w:t>
      </w:r>
      <w:proofErr w:type="spellEnd"/>
      <w:r w:rsidRPr="00A05F65">
        <w:rPr>
          <w:sz w:val="28"/>
          <w:szCs w:val="28"/>
        </w:rPr>
        <w:t xml:space="preserve"> РФ в сфере технического регулирования в 2024 г. являлись ч.1 ст.14.43 – 54,7%, ч.2 ст.14.43 – 45,1%. В </w:t>
      </w:r>
      <w:r w:rsidRPr="00A05F65">
        <w:rPr>
          <w:sz w:val="28"/>
          <w:szCs w:val="28"/>
        </w:rPr>
        <w:lastRenderedPageBreak/>
        <w:t>2023 г. доля протоколов по указанным статьям составляла ч.1 ст.14.43 – 59,6%, ч.2 ст.14.43 – 50,5%, в 2022 г. - ч.1 ст.14.43 – 53%, ч.2 ст.14.43 – 33,3%, также применялась ч.3 ст</w:t>
      </w:r>
      <w:proofErr w:type="gramEnd"/>
      <w:r w:rsidRPr="00A05F65">
        <w:rPr>
          <w:sz w:val="28"/>
          <w:szCs w:val="28"/>
        </w:rPr>
        <w:t xml:space="preserve">.14.43 – 13,4%. </w:t>
      </w:r>
    </w:p>
    <w:p w:rsidR="00A05F65" w:rsidRPr="00A05F65" w:rsidRDefault="00A05F65" w:rsidP="00A05F65">
      <w:pPr>
        <w:tabs>
          <w:tab w:val="left" w:pos="709"/>
        </w:tabs>
        <w:spacing w:line="480" w:lineRule="auto"/>
        <w:jc w:val="both"/>
        <w:rPr>
          <w:b/>
          <w:sz w:val="28"/>
          <w:szCs w:val="28"/>
        </w:rPr>
      </w:pPr>
      <w:r w:rsidRPr="00A05F65">
        <w:rPr>
          <w:sz w:val="28"/>
          <w:szCs w:val="28"/>
        </w:rPr>
        <w:tab/>
        <w:t>Всего по результатам рассмотрения дел об административных правонарушениях должностными лицами Управления, уполномоченными на рассмотрение дел,  в 2024 году вынесено 1741 постановление о назначении административного наказания, из которых 1409 (80,9%) – постановления о наложении административного штрафа, 332 (19,1%) – о вынесении предупреждений.</w:t>
      </w:r>
    </w:p>
    <w:p w:rsidR="00A05F65" w:rsidRPr="000B40D4" w:rsidRDefault="00A05F65" w:rsidP="00A05F65">
      <w:pPr>
        <w:ind w:firstLine="993"/>
        <w:jc w:val="right"/>
        <w:rPr>
          <w:b/>
          <w:sz w:val="22"/>
          <w:szCs w:val="22"/>
        </w:rPr>
      </w:pPr>
      <w:r w:rsidRPr="000B40D4">
        <w:rPr>
          <w:b/>
          <w:sz w:val="22"/>
          <w:szCs w:val="22"/>
        </w:rPr>
        <w:t>Таблица</w:t>
      </w:r>
    </w:p>
    <w:p w:rsidR="00A05F65" w:rsidRDefault="00A05F65" w:rsidP="00A05F65">
      <w:pPr>
        <w:ind w:firstLine="709"/>
        <w:jc w:val="center"/>
        <w:rPr>
          <w:b/>
          <w:sz w:val="22"/>
          <w:szCs w:val="22"/>
        </w:rPr>
      </w:pPr>
      <w:r w:rsidRPr="00C02843">
        <w:rPr>
          <w:b/>
          <w:sz w:val="22"/>
          <w:szCs w:val="22"/>
        </w:rPr>
        <w:t>Динамика изменения количества постановлений, вынесенных</w:t>
      </w:r>
    </w:p>
    <w:p w:rsidR="00A05F65" w:rsidRPr="00C02843" w:rsidRDefault="00A05F65" w:rsidP="00A05F65">
      <w:pPr>
        <w:ind w:firstLine="709"/>
        <w:jc w:val="center"/>
        <w:rPr>
          <w:b/>
          <w:sz w:val="22"/>
          <w:szCs w:val="22"/>
        </w:rPr>
      </w:pPr>
      <w:r w:rsidRPr="00C02843">
        <w:rPr>
          <w:b/>
          <w:sz w:val="22"/>
          <w:szCs w:val="22"/>
        </w:rPr>
        <w:t>Управлен</w:t>
      </w:r>
      <w:r>
        <w:rPr>
          <w:b/>
          <w:sz w:val="22"/>
          <w:szCs w:val="22"/>
        </w:rPr>
        <w:t>ием, суммы штрафа за 2019– 2024</w:t>
      </w:r>
      <w:r w:rsidRPr="00C02843">
        <w:rPr>
          <w:b/>
          <w:sz w:val="22"/>
          <w:szCs w:val="22"/>
        </w:rPr>
        <w:t xml:space="preserve"> гг.</w:t>
      </w:r>
    </w:p>
    <w:p w:rsidR="00A05F65" w:rsidRPr="00C02843" w:rsidRDefault="00A05F65" w:rsidP="00A05F65">
      <w:pPr>
        <w:ind w:firstLine="709"/>
        <w:jc w:val="center"/>
        <w:rPr>
          <w:b/>
          <w:sz w:val="22"/>
          <w:szCs w:val="22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1"/>
        <w:gridCol w:w="1276"/>
        <w:gridCol w:w="1276"/>
        <w:gridCol w:w="1276"/>
        <w:gridCol w:w="1276"/>
        <w:gridCol w:w="1276"/>
        <w:gridCol w:w="1276"/>
      </w:tblGrid>
      <w:tr w:rsidR="00A05F65" w:rsidRPr="00AD7C9E" w:rsidTr="00C81990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Pr="00AD7C9E" w:rsidRDefault="00A05F65" w:rsidP="00C81990">
            <w:pPr>
              <w:spacing w:before="20" w:after="20"/>
              <w:ind w:firstLine="709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Pr="00AD7C9E" w:rsidRDefault="00A05F65" w:rsidP="00C81990">
            <w:pPr>
              <w:spacing w:before="20" w:after="2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2024</w:t>
            </w:r>
          </w:p>
        </w:tc>
      </w:tr>
      <w:tr w:rsidR="00A05F65" w:rsidRPr="00AD7C9E" w:rsidTr="00C81990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F65" w:rsidRPr="00AD7C9E" w:rsidRDefault="00A05F65" w:rsidP="00C81990">
            <w:pPr>
              <w:spacing w:before="20" w:after="20"/>
              <w:rPr>
                <w:lang w:eastAsia="en-US"/>
              </w:rPr>
            </w:pPr>
            <w:r w:rsidRPr="00AD7C9E">
              <w:rPr>
                <w:sz w:val="22"/>
                <w:szCs w:val="22"/>
                <w:lang w:eastAsia="en-US"/>
              </w:rPr>
              <w:t>Количество постановлений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Pr="007A3D4C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7189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1741</w:t>
            </w:r>
          </w:p>
        </w:tc>
      </w:tr>
      <w:tr w:rsidR="00A05F65" w:rsidRPr="00AD7C9E" w:rsidTr="00C81990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F65" w:rsidRPr="00AD7C9E" w:rsidRDefault="00A05F65" w:rsidP="00C81990">
            <w:pPr>
              <w:spacing w:before="20" w:after="20"/>
              <w:rPr>
                <w:lang w:eastAsia="en-US"/>
              </w:rPr>
            </w:pPr>
            <w:r w:rsidRPr="00AD7C9E">
              <w:rPr>
                <w:sz w:val="22"/>
                <w:szCs w:val="22"/>
                <w:lang w:eastAsia="en-US"/>
              </w:rPr>
              <w:t>Количество штрафов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6363</w:t>
            </w:r>
          </w:p>
          <w:p w:rsidR="00A05F65" w:rsidRPr="007A3D4C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(88,5%)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2232</w:t>
            </w:r>
          </w:p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(81,1%)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4018</w:t>
            </w:r>
          </w:p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(87,4%)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2589 (80,7%)  </w:t>
            </w:r>
          </w:p>
          <w:p w:rsidR="00A05F65" w:rsidRPr="009447A0" w:rsidRDefault="00A05F65" w:rsidP="00C81990">
            <w:pPr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1522</w:t>
            </w:r>
          </w:p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(81,2%)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1409  (80,9%)</w:t>
            </w:r>
          </w:p>
        </w:tc>
      </w:tr>
      <w:tr w:rsidR="00A05F65" w:rsidRPr="00AD7C9E" w:rsidTr="00C81990">
        <w:trPr>
          <w:trHeight w:val="595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F65" w:rsidRPr="00AD7C9E" w:rsidRDefault="00A05F65" w:rsidP="00C81990">
            <w:pPr>
              <w:spacing w:before="20" w:after="20"/>
              <w:rPr>
                <w:lang w:eastAsia="en-US"/>
              </w:rPr>
            </w:pPr>
            <w:r w:rsidRPr="00AD7C9E">
              <w:rPr>
                <w:sz w:val="22"/>
                <w:szCs w:val="22"/>
                <w:lang w:eastAsia="en-US"/>
              </w:rPr>
              <w:t>Количество предупреждений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826</w:t>
            </w:r>
          </w:p>
          <w:p w:rsidR="00A05F65" w:rsidRPr="007A3D4C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(11,5%)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520</w:t>
            </w:r>
          </w:p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(18,9%)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581</w:t>
            </w:r>
          </w:p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(12,6%)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621 (19,3%)  </w:t>
            </w:r>
          </w:p>
          <w:p w:rsidR="00A05F65" w:rsidRPr="009447A0" w:rsidRDefault="00A05F65" w:rsidP="00C81990">
            <w:pPr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</w:t>
            </w:r>
          </w:p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(18,8%)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 (19,1%)</w:t>
            </w:r>
          </w:p>
        </w:tc>
      </w:tr>
      <w:tr w:rsidR="00A05F65" w:rsidRPr="00AD7C9E" w:rsidTr="00C81990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F65" w:rsidRPr="00AD7C9E" w:rsidRDefault="00A05F65" w:rsidP="00C81990">
            <w:pPr>
              <w:spacing w:before="20" w:after="20"/>
              <w:rPr>
                <w:lang w:eastAsia="en-US"/>
              </w:rPr>
            </w:pPr>
            <w:r w:rsidRPr="00AD7C9E">
              <w:rPr>
                <w:sz w:val="22"/>
                <w:szCs w:val="22"/>
                <w:lang w:eastAsia="en-US"/>
              </w:rPr>
              <w:t>Сумма штрафа</w:t>
            </w:r>
          </w:p>
          <w:p w:rsidR="00A05F65" w:rsidRPr="00AD7C9E" w:rsidRDefault="00A05F65" w:rsidP="00C81990">
            <w:pPr>
              <w:spacing w:before="20" w:after="20"/>
              <w:rPr>
                <w:lang w:eastAsia="en-US"/>
              </w:rPr>
            </w:pPr>
            <w:r w:rsidRPr="00AD7C9E">
              <w:rPr>
                <w:sz w:val="22"/>
                <w:szCs w:val="22"/>
                <w:lang w:eastAsia="en-US"/>
              </w:rPr>
              <w:t>(в тыс</w:t>
            </w:r>
            <w:proofErr w:type="gramStart"/>
            <w:r w:rsidRPr="00AD7C9E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AD7C9E">
              <w:rPr>
                <w:sz w:val="22"/>
                <w:szCs w:val="22"/>
                <w:lang w:eastAsia="en-US"/>
              </w:rPr>
              <w:t>уб.)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Pr="007A3D4C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 w:rsidRPr="007A3D4C">
              <w:rPr>
                <w:sz w:val="22"/>
                <w:szCs w:val="22"/>
                <w:lang w:eastAsia="en-US"/>
              </w:rPr>
              <w:t>50 105,0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Pr="007A3D4C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21 739,0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40 341,0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16 691,0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12 154,0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12 328,0</w:t>
            </w:r>
          </w:p>
        </w:tc>
      </w:tr>
      <w:tr w:rsidR="00A05F65" w:rsidRPr="00AD7C9E" w:rsidTr="00C81990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F65" w:rsidRPr="007C397A" w:rsidRDefault="00A05F65" w:rsidP="00C81990">
            <w:pPr>
              <w:spacing w:before="20" w:after="20"/>
              <w:rPr>
                <w:lang w:eastAsia="en-US"/>
              </w:rPr>
            </w:pPr>
            <w:r w:rsidRPr="007C397A">
              <w:rPr>
                <w:sz w:val="22"/>
                <w:szCs w:val="22"/>
              </w:rPr>
              <w:t>Средняя сумма штрафов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Pr="007A3D4C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7 874,4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6 447 </w:t>
            </w:r>
          </w:p>
          <w:p w:rsidR="00A05F65" w:rsidRPr="009447A0" w:rsidRDefault="00A05F65" w:rsidP="00C81990">
            <w:pPr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7 986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65" w:rsidRDefault="00A05F65" w:rsidP="00C81990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8 749</w:t>
            </w:r>
          </w:p>
        </w:tc>
      </w:tr>
    </w:tbl>
    <w:p w:rsidR="00A05F65" w:rsidRDefault="00A05F65" w:rsidP="00A05F65">
      <w:pPr>
        <w:ind w:firstLine="993"/>
        <w:jc w:val="center"/>
        <w:rPr>
          <w:sz w:val="22"/>
          <w:szCs w:val="22"/>
        </w:rPr>
      </w:pPr>
    </w:p>
    <w:p w:rsidR="00A05F65" w:rsidRPr="00A05F65" w:rsidRDefault="00A05F65" w:rsidP="00A05F65">
      <w:pPr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Число вынесенных постановлений о назначении административного наказания в сегменте санитарно-эпидемиологического законодательства составило 1594   постановления (в 2023 г. – 177, в 2022 г . – 2967). </w:t>
      </w:r>
      <w:proofErr w:type="gramStart"/>
      <w:r w:rsidRPr="00A05F65">
        <w:rPr>
          <w:sz w:val="28"/>
          <w:szCs w:val="28"/>
        </w:rPr>
        <w:t>Из них 1355 (85%) постановлений о назначении наказания в виде административного штрафа на сумму 11 866 000 рублей</w:t>
      </w:r>
      <w:r w:rsidRPr="00A05F65">
        <w:rPr>
          <w:b/>
          <w:sz w:val="28"/>
          <w:szCs w:val="28"/>
        </w:rPr>
        <w:t xml:space="preserve"> </w:t>
      </w:r>
      <w:r w:rsidRPr="00A05F65">
        <w:rPr>
          <w:sz w:val="28"/>
          <w:szCs w:val="28"/>
        </w:rPr>
        <w:t xml:space="preserve">и 239 предупреждений (15%) (в 2023 г. – 1467 (82%) штрафов на сумму 11 790 200 </w:t>
      </w:r>
      <w:r w:rsidRPr="00A05F65">
        <w:rPr>
          <w:sz w:val="28"/>
          <w:szCs w:val="28"/>
        </w:rPr>
        <w:lastRenderedPageBreak/>
        <w:t>рублей и 321 предупреждение (18%), в 2022 г. - 2438 (82,2%) штрафов на сумму 14 973 200 рублей</w:t>
      </w:r>
      <w:r w:rsidRPr="00A05F65">
        <w:rPr>
          <w:b/>
          <w:sz w:val="28"/>
          <w:szCs w:val="28"/>
        </w:rPr>
        <w:t xml:space="preserve"> </w:t>
      </w:r>
      <w:r w:rsidRPr="00A05F65">
        <w:rPr>
          <w:sz w:val="28"/>
          <w:szCs w:val="28"/>
        </w:rPr>
        <w:t xml:space="preserve">и 529 предупреждений (17,8%)). </w:t>
      </w:r>
      <w:proofErr w:type="gramEnd"/>
    </w:p>
    <w:p w:rsidR="00A05F65" w:rsidRPr="00A05F65" w:rsidRDefault="00A05F65" w:rsidP="00A05F65">
      <w:pPr>
        <w:autoSpaceDE w:val="0"/>
        <w:autoSpaceDN w:val="0"/>
        <w:adjustRightInd w:val="0"/>
        <w:spacing w:line="480" w:lineRule="auto"/>
        <w:ind w:firstLine="709"/>
        <w:jc w:val="both"/>
        <w:rPr>
          <w:rFonts w:eastAsiaTheme="minorHAnsi"/>
          <w:bCs/>
          <w:sz w:val="28"/>
          <w:szCs w:val="28"/>
          <w:highlight w:val="yellow"/>
          <w:lang w:eastAsia="en-US"/>
        </w:rPr>
      </w:pPr>
      <w:proofErr w:type="gramStart"/>
      <w:r w:rsidRPr="00A05F65">
        <w:rPr>
          <w:rFonts w:eastAsiaTheme="minorHAnsi"/>
          <w:sz w:val="28"/>
          <w:szCs w:val="28"/>
          <w:lang w:eastAsia="en-US"/>
        </w:rPr>
        <w:t xml:space="preserve">За 2024 г. в соответствии со статьей 4.1.1 </w:t>
      </w:r>
      <w:proofErr w:type="spellStart"/>
      <w:r w:rsidRPr="00A05F65">
        <w:rPr>
          <w:rFonts w:eastAsiaTheme="minorHAnsi"/>
          <w:sz w:val="28"/>
          <w:szCs w:val="28"/>
          <w:lang w:eastAsia="en-US"/>
        </w:rPr>
        <w:t>КоАП</w:t>
      </w:r>
      <w:proofErr w:type="spellEnd"/>
      <w:r w:rsidRPr="00A05F65">
        <w:rPr>
          <w:rFonts w:eastAsiaTheme="minorHAnsi"/>
          <w:sz w:val="28"/>
          <w:szCs w:val="28"/>
          <w:lang w:eastAsia="en-US"/>
        </w:rPr>
        <w:t xml:space="preserve"> РФ, </w:t>
      </w:r>
      <w:r w:rsidRPr="00A05F65">
        <w:rPr>
          <w:sz w:val="28"/>
          <w:szCs w:val="28"/>
        </w:rPr>
        <w:t>позволяющей применять предупреждение,</w:t>
      </w:r>
      <w:r w:rsidRPr="00A05F65">
        <w:rPr>
          <w:rFonts w:eastAsiaTheme="minorHAnsi"/>
          <w:sz w:val="28"/>
          <w:szCs w:val="28"/>
          <w:lang w:eastAsia="en-US"/>
        </w:rPr>
        <w:t xml:space="preserve"> </w:t>
      </w:r>
      <w:r w:rsidRPr="00A05F65">
        <w:rPr>
          <w:sz w:val="28"/>
          <w:szCs w:val="28"/>
        </w:rPr>
        <w:t xml:space="preserve">даже если данный вид административного наказания </w:t>
      </w:r>
      <w:r w:rsidRPr="00A05F65">
        <w:rPr>
          <w:rFonts w:eastAsiaTheme="minorHAnsi"/>
          <w:bCs/>
          <w:sz w:val="28"/>
          <w:szCs w:val="28"/>
          <w:lang w:eastAsia="en-US"/>
        </w:rPr>
        <w:t xml:space="preserve">не предусмотрен соответствующей статьей </w:t>
      </w:r>
      <w:proofErr w:type="spellStart"/>
      <w:r w:rsidRPr="00A05F65">
        <w:rPr>
          <w:rFonts w:eastAsiaTheme="minorHAnsi"/>
          <w:bCs/>
          <w:sz w:val="28"/>
          <w:szCs w:val="28"/>
          <w:lang w:eastAsia="en-US"/>
        </w:rPr>
        <w:t>КоАП</w:t>
      </w:r>
      <w:proofErr w:type="spellEnd"/>
      <w:r w:rsidRPr="00A05F65">
        <w:rPr>
          <w:rFonts w:eastAsiaTheme="minorHAnsi"/>
          <w:bCs/>
          <w:sz w:val="28"/>
          <w:szCs w:val="28"/>
          <w:lang w:eastAsia="en-US"/>
        </w:rPr>
        <w:t xml:space="preserve"> РФ, было применено 162 предупреждения, что составляет 48,8% всех предупреждений (в 2023 г. – 181 (51,4%), 2022 г. – 333 (53,6%), 2021 год – 183 (31,5%), 2020 год – 156 (30%)).</w:t>
      </w:r>
      <w:r w:rsidRPr="00A05F65">
        <w:rPr>
          <w:rFonts w:eastAsiaTheme="minorHAnsi"/>
          <w:bCs/>
          <w:sz w:val="28"/>
          <w:szCs w:val="28"/>
          <w:highlight w:val="yellow"/>
          <w:lang w:eastAsia="en-US"/>
        </w:rPr>
        <w:t xml:space="preserve"> </w:t>
      </w:r>
      <w:proofErr w:type="gramEnd"/>
    </w:p>
    <w:p w:rsidR="00A05F65" w:rsidRPr="00A05F65" w:rsidRDefault="00A05F65" w:rsidP="00A05F65">
      <w:pPr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Основную долю среди субъектов административной ответственности составляют должностные лица. </w:t>
      </w:r>
    </w:p>
    <w:p w:rsidR="00A05F65" w:rsidRDefault="00A05F65" w:rsidP="00A05F65">
      <w:pPr>
        <w:ind w:firstLine="993"/>
        <w:jc w:val="both"/>
      </w:pPr>
    </w:p>
    <w:p w:rsidR="00A05F65" w:rsidRDefault="00A05F65" w:rsidP="00A05F65">
      <w:pPr>
        <w:jc w:val="both"/>
      </w:pPr>
      <w:r w:rsidRPr="00FA35B2">
        <w:rPr>
          <w:noProof/>
        </w:rPr>
        <w:drawing>
          <wp:inline distT="0" distB="0" distL="0" distR="0">
            <wp:extent cx="5486400" cy="2863850"/>
            <wp:effectExtent l="19050" t="0" r="1905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5F65" w:rsidRDefault="00A05F65" w:rsidP="00A05F65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Рис</w:t>
      </w:r>
      <w:proofErr w:type="gramStart"/>
      <w:r>
        <w:rPr>
          <w:sz w:val="22"/>
          <w:szCs w:val="22"/>
        </w:rPr>
        <w:t>.</w:t>
      </w:r>
      <w:r w:rsidRPr="003E29D1">
        <w:rPr>
          <w:sz w:val="22"/>
          <w:szCs w:val="22"/>
        </w:rPr>
        <w:t>С</w:t>
      </w:r>
      <w:proofErr w:type="gramEnd"/>
      <w:r w:rsidRPr="003E29D1">
        <w:rPr>
          <w:sz w:val="22"/>
          <w:szCs w:val="22"/>
        </w:rPr>
        <w:t>труктура субъектов, привлеченных к административной ответственности за 20</w:t>
      </w:r>
      <w:r>
        <w:rPr>
          <w:sz w:val="22"/>
          <w:szCs w:val="22"/>
        </w:rPr>
        <w:t>22</w:t>
      </w:r>
      <w:r w:rsidRPr="003E29D1">
        <w:rPr>
          <w:sz w:val="22"/>
          <w:szCs w:val="22"/>
        </w:rPr>
        <w:t xml:space="preserve"> – </w:t>
      </w:r>
      <w:r>
        <w:rPr>
          <w:sz w:val="22"/>
          <w:szCs w:val="22"/>
        </w:rPr>
        <w:t>2</w:t>
      </w:r>
      <w:r w:rsidRPr="003E29D1">
        <w:rPr>
          <w:sz w:val="22"/>
          <w:szCs w:val="22"/>
        </w:rPr>
        <w:t>0</w:t>
      </w:r>
      <w:r>
        <w:rPr>
          <w:sz w:val="22"/>
          <w:szCs w:val="22"/>
        </w:rPr>
        <w:t>24</w:t>
      </w:r>
      <w:r w:rsidRPr="003E29D1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3E29D1">
        <w:rPr>
          <w:sz w:val="22"/>
          <w:szCs w:val="22"/>
        </w:rPr>
        <w:t>г.</w:t>
      </w:r>
    </w:p>
    <w:p w:rsidR="00A05F65" w:rsidRPr="003E29D1" w:rsidRDefault="00A05F65" w:rsidP="00A05F65">
      <w:pPr>
        <w:ind w:firstLine="709"/>
        <w:jc w:val="center"/>
        <w:rPr>
          <w:sz w:val="22"/>
          <w:szCs w:val="22"/>
        </w:rPr>
      </w:pPr>
    </w:p>
    <w:p w:rsidR="00A05F65" w:rsidRPr="00A05F65" w:rsidRDefault="00A05F65" w:rsidP="00A05F65">
      <w:pPr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При этом за нарушения требований санитарного законодательства к административной ответственности в 2024 г. было привлечено 318 юридических лиц (19,9% от общего количества привлеченных лиц), 1107 должностных лиц (69,4%), 65 индивидуальных предпринимателей (4,1%), </w:t>
      </w:r>
      <w:r w:rsidRPr="00A05F65">
        <w:rPr>
          <w:sz w:val="28"/>
          <w:szCs w:val="28"/>
        </w:rPr>
        <w:lastRenderedPageBreak/>
        <w:t>104 гражданина (6,5%) (в 2023 г. – 503 ЮЛ (28,1%), 1104 ДЛ (61,7%), 56 ИП (3,1%), 125 граждан (7%)).</w:t>
      </w:r>
    </w:p>
    <w:p w:rsidR="00A05F65" w:rsidRPr="00A05F65" w:rsidRDefault="00A05F65" w:rsidP="00A05F65">
      <w:pPr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За 2024 г.</w:t>
      </w:r>
      <w:r w:rsidRPr="00A05F65">
        <w:rPr>
          <w:b/>
          <w:sz w:val="28"/>
          <w:szCs w:val="28"/>
        </w:rPr>
        <w:t xml:space="preserve"> </w:t>
      </w:r>
      <w:r w:rsidRPr="00A05F65">
        <w:rPr>
          <w:sz w:val="28"/>
          <w:szCs w:val="28"/>
        </w:rPr>
        <w:t xml:space="preserve">по результатам рассмотрения  дел об административных правонарушениях  было внесено  1586 </w:t>
      </w:r>
      <w:r w:rsidRPr="00A05F65">
        <w:rPr>
          <w:b/>
          <w:sz w:val="28"/>
          <w:szCs w:val="28"/>
        </w:rPr>
        <w:t xml:space="preserve"> </w:t>
      </w:r>
      <w:r w:rsidRPr="00A05F65">
        <w:rPr>
          <w:sz w:val="28"/>
          <w:szCs w:val="28"/>
        </w:rPr>
        <w:t xml:space="preserve">представлений об устранении причин и условий, способствовавших совершению административного правонарушения. Таким образом, удельный вес административных дел, в ходе рассмотрения которых внесены представления об устранении причин и условий, способствующих правонарушению, составил в 2024 г. 91,1%. При этом доля представлений при рассмотрении дел об административных правонарушениях за нарушения санитарного законодательства составила 92,7% (в 2023 г. – 96,2%, в 2022 г. – 91,9%). </w:t>
      </w:r>
    </w:p>
    <w:p w:rsidR="00A05F65" w:rsidRPr="00A05F65" w:rsidRDefault="00A05F65" w:rsidP="00A05F65">
      <w:pPr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 В 2024 г. сумма уплаченных штрафов составила 8 493 850 рублей (95,2%), при этом сумма уплаченных штрафов по постановлениям Управления составила 8 253 350 рублей, что составляет 95%.</w:t>
      </w:r>
    </w:p>
    <w:p w:rsidR="00A05F65" w:rsidRPr="00A05F65" w:rsidRDefault="00A05F65" w:rsidP="00A05F65">
      <w:pPr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Количество направленных для рассмотрения в суд материалов в 2024 г. увеличилось на 31,9% и составило 166 протоколов (в 2023 г. – 113, в 2022 г. – 301). </w:t>
      </w:r>
    </w:p>
    <w:p w:rsidR="00A05F65" w:rsidRPr="00A05F65" w:rsidRDefault="00A05F65" w:rsidP="00A05F65">
      <w:pPr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Лидирующее положение по числу направляемых в суд материалов в 2024 г. занимают ст.19.5 ч. 1 – 82 (49,4%), ст.14.2 – 46 (27,7%), ст. 15.12 ч.1 – 10 (6%), ст. 15.12 ч.2 – 5 (3%), ст.14.43 ч.2 – 4 (2,4%), ст. 6.6 – 4 (2,4%). </w:t>
      </w:r>
    </w:p>
    <w:p w:rsidR="00A05F65" w:rsidRPr="00A05F65" w:rsidRDefault="00A05F65" w:rsidP="00A05F65">
      <w:pPr>
        <w:spacing w:line="480" w:lineRule="auto"/>
        <w:ind w:firstLine="708"/>
        <w:jc w:val="both"/>
        <w:rPr>
          <w:sz w:val="28"/>
          <w:szCs w:val="28"/>
        </w:rPr>
      </w:pPr>
      <w:r w:rsidRPr="00A05F65">
        <w:rPr>
          <w:sz w:val="28"/>
          <w:szCs w:val="28"/>
        </w:rPr>
        <w:lastRenderedPageBreak/>
        <w:t>Доля дел о привлечении к административной ответственности, по которым судами принято решение о назначении административного наказания составила 94,4% (2023 г. -100%, 2022 г. – 95,3%, 2021 г. – 94,9%).</w:t>
      </w:r>
    </w:p>
    <w:p w:rsidR="00A05F65" w:rsidRPr="00A05F65" w:rsidRDefault="00A05F65" w:rsidP="00A05F65">
      <w:pPr>
        <w:spacing w:line="480" w:lineRule="auto"/>
        <w:ind w:firstLine="708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В 2024 г. по материалам Управления судом было вынесено 117 постановлений (в 2023 г. – 36, в 2022 г. – 282): </w:t>
      </w:r>
    </w:p>
    <w:p w:rsidR="00A05F65" w:rsidRPr="00A05F65" w:rsidRDefault="00A05F65" w:rsidP="00A05F65">
      <w:pPr>
        <w:pStyle w:val="a5"/>
        <w:numPr>
          <w:ilvl w:val="0"/>
          <w:numId w:val="1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из них 108 административных штрафов (92,3%) (в 2023 г. – 19 (52,8%), в 2022 г. – 249 (88,3%)), </w:t>
      </w:r>
    </w:p>
    <w:p w:rsidR="00A05F65" w:rsidRPr="00A05F65" w:rsidRDefault="00A05F65" w:rsidP="00A05F65">
      <w:pPr>
        <w:pStyle w:val="a5"/>
        <w:numPr>
          <w:ilvl w:val="0"/>
          <w:numId w:val="1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1 административный штраф с конфискацией предмета административного правонарушения,</w:t>
      </w:r>
    </w:p>
    <w:p w:rsidR="00A05F65" w:rsidRPr="00A05F65" w:rsidRDefault="00A05F65" w:rsidP="00A05F65">
      <w:pPr>
        <w:pStyle w:val="a5"/>
        <w:numPr>
          <w:ilvl w:val="0"/>
          <w:numId w:val="1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3 предупреждения (2,6%) (в 2023 г. – 3 (8,3%), в 2022 г. – 13 (4,6%)), </w:t>
      </w:r>
    </w:p>
    <w:p w:rsidR="00A05F65" w:rsidRPr="00A05F65" w:rsidRDefault="00A05F65" w:rsidP="00A05F65">
      <w:pPr>
        <w:pStyle w:val="a5"/>
        <w:numPr>
          <w:ilvl w:val="0"/>
          <w:numId w:val="1"/>
        </w:numPr>
        <w:spacing w:line="480" w:lineRule="auto"/>
        <w:ind w:left="0"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5 постановлений о приостановлении деятельности объектов (4,3%) (в 2023 г. – 13 (36,1%), в 2022 г. – 19 (6,7%)), из них 3 индивидуальных предпринимателя и 2 юридических лица (в 2023 г. – 1 индивидуальный предприниматель и 12 юридических лиц, в 2022 г. – 5 индивидуальных предпринимателей и 14 юридических лиц). </w:t>
      </w:r>
    </w:p>
    <w:p w:rsidR="00A05F65" w:rsidRPr="00A05F65" w:rsidRDefault="00A05F65" w:rsidP="00A05F65">
      <w:pPr>
        <w:pStyle w:val="ConsPlusNormal"/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При этом в 3 случаях деятельность объектов была приостановлена за нарушения санитарно-эпидемиологических требований к организации питания населения в специально оборудованных местах (ст.6.6 </w:t>
      </w:r>
      <w:proofErr w:type="spellStart"/>
      <w:r w:rsidRPr="00A05F65">
        <w:rPr>
          <w:sz w:val="28"/>
          <w:szCs w:val="28"/>
        </w:rPr>
        <w:t>КоАП</w:t>
      </w:r>
      <w:proofErr w:type="spellEnd"/>
      <w:r w:rsidRPr="00A05F65">
        <w:rPr>
          <w:sz w:val="28"/>
          <w:szCs w:val="28"/>
        </w:rPr>
        <w:t xml:space="preserve"> РФ) (в 2023 г. – 4 , в 2022 г. – 1), </w:t>
      </w:r>
    </w:p>
    <w:p w:rsidR="00A05F65" w:rsidRPr="00A05F65" w:rsidRDefault="00A05F65" w:rsidP="00A05F65">
      <w:pPr>
        <w:pStyle w:val="ConsPlusNormal"/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в 1 случае деятельность объекта была приостановлена за нарушения санитарно-эпидемиологических требований к эксплуатации жилых </w:t>
      </w:r>
      <w:r w:rsidRPr="00A05F65">
        <w:rPr>
          <w:sz w:val="28"/>
          <w:szCs w:val="28"/>
        </w:rPr>
        <w:lastRenderedPageBreak/>
        <w:t xml:space="preserve">помещений и общественных помещений, зданий, сооружений и транспорта (ст.6.4 </w:t>
      </w:r>
      <w:proofErr w:type="spellStart"/>
      <w:r w:rsidRPr="00A05F65">
        <w:rPr>
          <w:sz w:val="28"/>
          <w:szCs w:val="28"/>
        </w:rPr>
        <w:t>КоАП</w:t>
      </w:r>
      <w:proofErr w:type="spellEnd"/>
      <w:r w:rsidRPr="00A05F65">
        <w:rPr>
          <w:sz w:val="28"/>
          <w:szCs w:val="28"/>
        </w:rPr>
        <w:t xml:space="preserve"> РФ) (в 2023 г. – 3, в 2022 г. – 0),</w:t>
      </w:r>
    </w:p>
    <w:p w:rsidR="00A05F65" w:rsidRPr="00A05F65" w:rsidRDefault="00A05F65" w:rsidP="00A05F65">
      <w:pPr>
        <w:pStyle w:val="ConsPlusNormal"/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1 объект приостановлен за нарушение общих санитарно-эпидемиологических требований (</w:t>
      </w:r>
      <w:proofErr w:type="gramStart"/>
      <w:r w:rsidRPr="00A05F65">
        <w:rPr>
          <w:sz w:val="28"/>
          <w:szCs w:val="28"/>
        </w:rPr>
        <w:t>ч</w:t>
      </w:r>
      <w:proofErr w:type="gramEnd"/>
      <w:r w:rsidRPr="00A05F65">
        <w:rPr>
          <w:sz w:val="28"/>
          <w:szCs w:val="28"/>
        </w:rPr>
        <w:t xml:space="preserve">.1 ст.6.3 </w:t>
      </w:r>
      <w:proofErr w:type="spellStart"/>
      <w:r w:rsidRPr="00A05F65">
        <w:rPr>
          <w:sz w:val="28"/>
          <w:szCs w:val="28"/>
        </w:rPr>
        <w:t>КоАП</w:t>
      </w:r>
      <w:proofErr w:type="spellEnd"/>
      <w:r w:rsidRPr="00A05F65">
        <w:rPr>
          <w:sz w:val="28"/>
          <w:szCs w:val="28"/>
        </w:rPr>
        <w:t xml:space="preserve"> РФ) (в 2023 г. – 3, в 2022 г. – 3). </w:t>
      </w:r>
    </w:p>
    <w:p w:rsidR="00A05F65" w:rsidRPr="00A05F65" w:rsidRDefault="00A05F65" w:rsidP="00A05F65">
      <w:pPr>
        <w:autoSpaceDE w:val="0"/>
        <w:autoSpaceDN w:val="0"/>
        <w:adjustRightInd w:val="0"/>
        <w:spacing w:line="480" w:lineRule="auto"/>
        <w:ind w:firstLine="709"/>
        <w:jc w:val="both"/>
        <w:rPr>
          <w:sz w:val="28"/>
          <w:szCs w:val="28"/>
        </w:rPr>
      </w:pPr>
      <w:proofErr w:type="gramStart"/>
      <w:r w:rsidRPr="00A05F65">
        <w:rPr>
          <w:sz w:val="28"/>
          <w:szCs w:val="28"/>
        </w:rPr>
        <w:t>За 2024 год судом было рассмотрено и удовлетворено 54 исковых заявления о нарушениях санитарного законодательства.</w:t>
      </w:r>
      <w:proofErr w:type="gramEnd"/>
      <w:r w:rsidRPr="00A05F65">
        <w:rPr>
          <w:sz w:val="28"/>
          <w:szCs w:val="28"/>
        </w:rPr>
        <w:t xml:space="preserve"> Большинство исков было направлено по нарушениям в деятельности: </w:t>
      </w:r>
    </w:p>
    <w:p w:rsidR="00A05F65" w:rsidRPr="00A05F65" w:rsidRDefault="00A05F65" w:rsidP="00A05F65">
      <w:pPr>
        <w:autoSpaceDE w:val="0"/>
        <w:autoSpaceDN w:val="0"/>
        <w:adjustRightInd w:val="0"/>
        <w:spacing w:line="480" w:lineRule="auto"/>
        <w:ind w:firstLine="709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- в сфере водоснабжения и водоотведения (20, из них 12 в сфере водоподготовки и водоснабжения),</w:t>
      </w:r>
    </w:p>
    <w:p w:rsidR="00A05F65" w:rsidRPr="00A05F65" w:rsidRDefault="00A05F65" w:rsidP="00A05F65">
      <w:pPr>
        <w:spacing w:line="480" w:lineRule="auto"/>
        <w:ind w:firstLineChars="295" w:firstLine="826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- по сбору и утилизации неопасных отходов; обработке вторичного сырья (7), </w:t>
      </w:r>
    </w:p>
    <w:p w:rsidR="00A05F65" w:rsidRPr="00A05F65" w:rsidRDefault="00A05F65" w:rsidP="00A05F65">
      <w:pPr>
        <w:spacing w:line="480" w:lineRule="auto"/>
        <w:ind w:firstLineChars="295" w:firstLine="826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- в области здравоохранения (5),</w:t>
      </w:r>
    </w:p>
    <w:p w:rsidR="00A05F65" w:rsidRPr="00A05F65" w:rsidRDefault="00A05F65" w:rsidP="00A05F65">
      <w:pPr>
        <w:spacing w:line="480" w:lineRule="auto"/>
        <w:ind w:firstLineChars="295" w:firstLine="826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- детских и подростковых организаций (10, из них 7 в сфере деятельности дошкольных образовательных организаций, 3 - общеобразовательных организаций),</w:t>
      </w:r>
    </w:p>
    <w:p w:rsidR="00A05F65" w:rsidRPr="00A05F65" w:rsidRDefault="00A05F65" w:rsidP="00A05F65">
      <w:pPr>
        <w:spacing w:line="480" w:lineRule="auto"/>
        <w:ind w:firstLineChars="295" w:firstLine="826"/>
        <w:jc w:val="both"/>
        <w:rPr>
          <w:sz w:val="28"/>
          <w:szCs w:val="28"/>
        </w:rPr>
      </w:pPr>
      <w:r w:rsidRPr="00A05F65">
        <w:rPr>
          <w:sz w:val="28"/>
          <w:szCs w:val="28"/>
        </w:rPr>
        <w:t>- торговле пищевыми продуктами (2).</w:t>
      </w:r>
    </w:p>
    <w:p w:rsidR="00A05F65" w:rsidRPr="00A05F65" w:rsidRDefault="00A05F65" w:rsidP="00A05F65">
      <w:pPr>
        <w:spacing w:line="480" w:lineRule="auto"/>
        <w:ind w:firstLineChars="295" w:firstLine="826"/>
        <w:jc w:val="both"/>
        <w:rPr>
          <w:sz w:val="28"/>
          <w:szCs w:val="28"/>
        </w:rPr>
      </w:pPr>
      <w:r w:rsidRPr="00A05F65">
        <w:rPr>
          <w:sz w:val="28"/>
          <w:szCs w:val="28"/>
        </w:rPr>
        <w:t xml:space="preserve">Для сравнения в 2023 г. судом рассмотрено и удовлетворено 63 исковых заявления о нарушениях санитарного законодательства. Из них в сфере водоснабжения и водоотведения - 18, в деятельности по сбору и утилизации неопасных отходов; обработке вторичного сырья (7), в области </w:t>
      </w:r>
      <w:r w:rsidRPr="00A05F65">
        <w:rPr>
          <w:sz w:val="28"/>
          <w:szCs w:val="28"/>
        </w:rPr>
        <w:lastRenderedPageBreak/>
        <w:t>здравоохранения (5),в деятельности общеобразовательных организаций (7), в деятельности по торговле пищевыми продуктами (15).</w:t>
      </w:r>
    </w:p>
    <w:p w:rsidR="00A05F65" w:rsidRDefault="00A05F65"/>
    <w:sectPr w:rsidR="00A05F65" w:rsidSect="00C343E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6C6" w:rsidRDefault="009616C6" w:rsidP="00DA274D">
      <w:r>
        <w:separator/>
      </w:r>
    </w:p>
  </w:endnote>
  <w:endnote w:type="continuationSeparator" w:id="0">
    <w:p w:rsidR="009616C6" w:rsidRDefault="009616C6" w:rsidP="00DA2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32624"/>
      <w:docPartObj>
        <w:docPartGallery w:val="Page Numbers (Bottom of Page)"/>
        <w:docPartUnique/>
      </w:docPartObj>
    </w:sdtPr>
    <w:sdtContent>
      <w:p w:rsidR="001B00CF" w:rsidRDefault="00AE23DE">
        <w:pPr>
          <w:pStyle w:val="a3"/>
          <w:jc w:val="center"/>
        </w:pPr>
        <w:r>
          <w:fldChar w:fldCharType="begin"/>
        </w:r>
        <w:r w:rsidR="00506E77">
          <w:instrText xml:space="preserve"> PAGE   \* MERGEFORMAT </w:instrText>
        </w:r>
        <w:r>
          <w:fldChar w:fldCharType="separate"/>
        </w:r>
        <w:r w:rsidR="00A05F65">
          <w:rPr>
            <w:noProof/>
          </w:rPr>
          <w:t>1</w:t>
        </w:r>
        <w:r>
          <w:fldChar w:fldCharType="end"/>
        </w:r>
      </w:p>
    </w:sdtContent>
  </w:sdt>
  <w:p w:rsidR="001B00CF" w:rsidRDefault="00A7277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6C6" w:rsidRDefault="009616C6" w:rsidP="00DA274D">
      <w:r>
        <w:separator/>
      </w:r>
    </w:p>
  </w:footnote>
  <w:footnote w:type="continuationSeparator" w:id="0">
    <w:p w:rsidR="009616C6" w:rsidRDefault="009616C6" w:rsidP="00DA2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3E80"/>
    <w:multiLevelType w:val="hybridMultilevel"/>
    <w:tmpl w:val="51F0D95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E651D14"/>
    <w:multiLevelType w:val="hybridMultilevel"/>
    <w:tmpl w:val="B906AE3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4F2E6163"/>
    <w:multiLevelType w:val="hybridMultilevel"/>
    <w:tmpl w:val="243C5D6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71E47F89"/>
    <w:multiLevelType w:val="hybridMultilevel"/>
    <w:tmpl w:val="7D7A2F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E77"/>
    <w:rsid w:val="00181B05"/>
    <w:rsid w:val="0028294A"/>
    <w:rsid w:val="00506E77"/>
    <w:rsid w:val="009616C6"/>
    <w:rsid w:val="00A05F65"/>
    <w:rsid w:val="00AE23DE"/>
    <w:rsid w:val="00B4619B"/>
    <w:rsid w:val="00B80F7E"/>
    <w:rsid w:val="00C10207"/>
    <w:rsid w:val="00DA0AF2"/>
    <w:rsid w:val="00DA274D"/>
    <w:rsid w:val="00DC5BBE"/>
    <w:rsid w:val="00DF6CFE"/>
    <w:rsid w:val="00E83C6B"/>
    <w:rsid w:val="00EC459B"/>
    <w:rsid w:val="00EE6BD5"/>
    <w:rsid w:val="00F14CB7"/>
    <w:rsid w:val="00F6556C"/>
    <w:rsid w:val="00F76A9F"/>
    <w:rsid w:val="00F8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6E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06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kl1">
    <w:name w:val="Maikl1"/>
    <w:rsid w:val="00506E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F6556C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F65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5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14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4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2.5462962962962996E-2"/>
          <c:y val="0.17364561691429373"/>
          <c:w val="0.94907407407408484"/>
          <c:h val="0.7180177034411789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Граждане</c:v>
                </c:pt>
              </c:strCache>
            </c:strRef>
          </c:tx>
          <c:spPr>
            <a:solidFill>
              <a:schemeClr val="tx1"/>
            </a:solidFill>
          </c:spPr>
          <c:dLbls>
            <c:txPr>
              <a:bodyPr/>
              <a:lstStyle/>
              <a:p>
                <a:pPr>
                  <a:defRPr sz="120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247</c:v>
                </c:pt>
                <c:pt idx="1">
                  <c:v>158</c:v>
                </c:pt>
                <c:pt idx="2">
                  <c:v>113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Долж лица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Lbls>
            <c:txPr>
              <a:bodyPr/>
              <a:lstStyle/>
              <a:p>
                <a:pPr>
                  <a:defRPr sz="120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2174</c:v>
                </c:pt>
                <c:pt idx="1">
                  <c:v>1122</c:v>
                </c:pt>
                <c:pt idx="2">
                  <c:v>1189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ИП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chemeClr val="bg1">
                  <a:lumMod val="75000"/>
                </a:schemeClr>
              </a:solidFill>
            </a:ln>
          </c:spPr>
          <c:dLbls>
            <c:txPr>
              <a:bodyPr/>
              <a:lstStyle/>
              <a:p>
                <a:pPr>
                  <a:defRPr sz="120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74</c:v>
                </c:pt>
                <c:pt idx="1">
                  <c:v>60</c:v>
                </c:pt>
                <c:pt idx="2">
                  <c:v>70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ЮЛ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75000"/>
                </a:schemeClr>
              </a:solidFill>
            </a:ln>
          </c:spPr>
          <c:dLbls>
            <c:txPr>
              <a:bodyPr/>
              <a:lstStyle/>
              <a:p>
                <a:pPr>
                  <a:defRPr sz="120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715</c:v>
                </c:pt>
                <c:pt idx="1">
                  <c:v>534</c:v>
                </c:pt>
                <c:pt idx="2">
                  <c:v>369</c:v>
                </c:pt>
              </c:numCache>
            </c:numRef>
          </c:val>
        </c:ser>
        <c:dLbls>
          <c:showVal val="1"/>
        </c:dLbls>
        <c:overlap val="-25"/>
        <c:axId val="21868544"/>
        <c:axId val="21870080"/>
      </c:barChart>
      <c:catAx>
        <c:axId val="218685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21870080"/>
        <c:crosses val="autoZero"/>
        <c:auto val="1"/>
        <c:lblAlgn val="ctr"/>
        <c:lblOffset val="100"/>
      </c:catAx>
      <c:valAx>
        <c:axId val="21870080"/>
        <c:scaling>
          <c:orientation val="minMax"/>
        </c:scaling>
        <c:delete val="1"/>
        <c:axPos val="l"/>
        <c:numFmt formatCode="General" sourceLinked="1"/>
        <c:tickLblPos val="none"/>
        <c:crossAx val="21868544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</c:chart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0.86227</cdr:x>
      <cdr:y>0.58697</cdr:y>
    </cdr:from>
    <cdr:to>
      <cdr:x>0.96143</cdr:x>
      <cdr:y>0.66634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730746" y="1680986"/>
          <a:ext cx="544031" cy="2273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(21,2%)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0.79282</cdr:x>
      <cdr:y>0.71103</cdr:y>
    </cdr:from>
    <cdr:to>
      <cdr:x>0.88469</cdr:x>
      <cdr:y>0.79436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349754" y="2036276"/>
          <a:ext cx="504036" cy="2386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(4%)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0.72222</cdr:x>
      <cdr:y>0.39053</cdr:y>
    </cdr:from>
    <cdr:to>
      <cdr:x>0.85347</cdr:x>
      <cdr:y>0.48053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962374" y="1118416"/>
          <a:ext cx="720090" cy="2577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(68,3%)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0.65394</cdr:x>
      <cdr:y>0.67005</cdr:y>
    </cdr:from>
    <cdr:to>
      <cdr:x>0.75829</cdr:x>
      <cdr:y>0.75891</cdr:y>
    </cdr:to>
    <cdr:sp macro="" textlink="">
      <cdr:nvSpPr>
        <cdr:cNvPr id="6" name="TextBox 4"/>
        <cdr:cNvSpPr txBox="1"/>
      </cdr:nvSpPr>
      <cdr:spPr>
        <a:xfrm xmlns:a="http://schemas.openxmlformats.org/drawingml/2006/main">
          <a:off x="3587776" y="1918923"/>
          <a:ext cx="572529" cy="25449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>
          <a:spAutoFit/>
        </a:bodyPr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1pPr>
          <a:lvl2pPr marL="457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2pPr>
          <a:lvl3pPr marL="914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3pPr>
          <a:lvl4pPr marL="1371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4pPr>
          <a:lvl5pPr marL="18288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5pPr>
          <a:lvl6pPr marL="22860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6pPr>
          <a:lvl7pPr marL="2743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7pPr>
          <a:lvl8pPr marL="3200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8pPr>
          <a:lvl9pPr marL="3657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(6,5%)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0.53703</cdr:x>
      <cdr:y>0.55462</cdr:y>
    </cdr:from>
    <cdr:to>
      <cdr:x>0.65424</cdr:x>
      <cdr:y>0.64349</cdr:y>
    </cdr:to>
    <cdr:sp macro="" textlink="">
      <cdr:nvSpPr>
        <cdr:cNvPr id="7" name="TextBox 7"/>
        <cdr:cNvSpPr txBox="1"/>
      </cdr:nvSpPr>
      <cdr:spPr>
        <a:xfrm xmlns:a="http://schemas.openxmlformats.org/drawingml/2006/main">
          <a:off x="2946378" y="1588362"/>
          <a:ext cx="643061" cy="25449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>
          <a:spAutoFit/>
        </a:bodyPr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1pPr>
          <a:lvl2pPr marL="457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2pPr>
          <a:lvl3pPr marL="914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3pPr>
          <a:lvl4pPr marL="1371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4pPr>
          <a:lvl5pPr marL="18288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5pPr>
          <a:lvl6pPr marL="22860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6pPr>
          <a:lvl7pPr marL="2743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7pPr>
          <a:lvl8pPr marL="3200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8pPr>
          <a:lvl9pPr marL="3657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(28,5%)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0.47916</cdr:x>
      <cdr:y>0.68465</cdr:y>
    </cdr:from>
    <cdr:to>
      <cdr:x>0.57103</cdr:x>
      <cdr:y>0.77465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2628890" y="1960723"/>
          <a:ext cx="504035" cy="257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(3,2%)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0.39351</cdr:x>
      <cdr:y>0.35254</cdr:y>
    </cdr:from>
    <cdr:to>
      <cdr:x>0.52893</cdr:x>
      <cdr:y>0.44141</cdr:y>
    </cdr:to>
    <cdr:sp macro="" textlink="">
      <cdr:nvSpPr>
        <cdr:cNvPr id="9" name="TextBox 6"/>
        <cdr:cNvSpPr txBox="1"/>
      </cdr:nvSpPr>
      <cdr:spPr>
        <a:xfrm xmlns:a="http://schemas.openxmlformats.org/drawingml/2006/main">
          <a:off x="2158974" y="1009634"/>
          <a:ext cx="742968" cy="2545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1pPr>
          <a:lvl2pPr marL="457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2pPr>
          <a:lvl3pPr marL="914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3pPr>
          <a:lvl4pPr marL="1371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4pPr>
          <a:lvl5pPr marL="18288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5pPr>
          <a:lvl6pPr marL="22860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6pPr>
          <a:lvl7pPr marL="2743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7pPr>
          <a:lvl8pPr marL="3200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8pPr>
          <a:lvl9pPr marL="3657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(59,9%)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0.33449</cdr:x>
      <cdr:y>0.65616</cdr:y>
    </cdr:from>
    <cdr:to>
      <cdr:x>0.43884</cdr:x>
      <cdr:y>0.74502</cdr:y>
    </cdr:to>
    <cdr:sp macro="" textlink="">
      <cdr:nvSpPr>
        <cdr:cNvPr id="10" name="TextBox 5"/>
        <cdr:cNvSpPr txBox="1"/>
      </cdr:nvSpPr>
      <cdr:spPr>
        <a:xfrm xmlns:a="http://schemas.openxmlformats.org/drawingml/2006/main">
          <a:off x="1835146" y="1879144"/>
          <a:ext cx="572529" cy="254493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>
          <a:spAutoFit/>
        </a:bodyPr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1pPr>
          <a:lvl2pPr marL="457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2pPr>
          <a:lvl3pPr marL="914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3pPr>
          <a:lvl4pPr marL="1371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4pPr>
          <a:lvl5pPr marL="18288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5pPr>
          <a:lvl6pPr marL="22860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6pPr>
          <a:lvl7pPr marL="2743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7pPr>
          <a:lvl8pPr marL="3200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8pPr>
          <a:lvl9pPr marL="3657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(8,4%)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0.21759</cdr:x>
      <cdr:y>0.49232</cdr:y>
    </cdr:from>
    <cdr:to>
      <cdr:x>0.34884</cdr:x>
      <cdr:y>0.58232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1193776" y="1409927"/>
          <a:ext cx="720090" cy="257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(22,3%)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0.15741</cdr:x>
      <cdr:y>0.68977</cdr:y>
    </cdr:from>
    <cdr:to>
      <cdr:x>0.25463</cdr:x>
      <cdr:y>0.76715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63614" y="1975391"/>
          <a:ext cx="533388" cy="2216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(2,3%)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0.00926</cdr:x>
      <cdr:y>0.21113</cdr:y>
    </cdr:from>
    <cdr:to>
      <cdr:x>0.12384</cdr:x>
      <cdr:y>0.2905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50802" y="604649"/>
          <a:ext cx="628632" cy="2273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(67,7%)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0.00926</cdr:x>
      <cdr:y>0.61612</cdr:y>
    </cdr:from>
    <cdr:to>
      <cdr:x>0.12153</cdr:x>
      <cdr:y>0.70144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50818" y="1764472"/>
          <a:ext cx="615958" cy="2443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(7,7%)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C1FB-E9D5-464E-88FC-33D0C5DE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2025-05-15T11:34:00Z</dcterms:created>
  <dcterms:modified xsi:type="dcterms:W3CDTF">2025-05-15T11:34:00Z</dcterms:modified>
</cp:coreProperties>
</file>