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40910023"/>
    <w:bookmarkEnd w:id="0"/>
    <w:p w:rsidR="00885DB4" w:rsidRPr="00F53FFB" w:rsidRDefault="00E826E8" w:rsidP="00F53F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object w:dxaOrig="9355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7.25pt" o:ole="">
            <v:imagedata r:id="rId7" o:title=""/>
          </v:shape>
          <o:OLEObject Type="Embed" ProgID="Word.Document.12" ShapeID="_x0000_i1025" DrawAspect="Content" ObjectID="_1741696800" r:id="rId8">
            <o:FieldCodes>\s</o:FieldCodes>
          </o:OLEObject>
        </w:object>
      </w:r>
      <w:r w:rsidR="00F53FFB">
        <w:rPr>
          <w:rFonts w:ascii="Times New Roman" w:hAnsi="Times New Roman" w:cs="Times New Roman"/>
          <w:sz w:val="28"/>
          <w:szCs w:val="28"/>
        </w:rPr>
        <w:tab/>
      </w:r>
      <w:r w:rsidR="00885DB4" w:rsidRPr="00F53FF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Федеральной </w:t>
      </w:r>
      <w:hyperlink r:id="rId9" w:history="1">
        <w:r w:rsidR="00885DB4" w:rsidRPr="00F53FFB">
          <w:rPr>
            <w:rFonts w:ascii="Times New Roman" w:hAnsi="Times New Roman" w:cs="Times New Roman"/>
            <w:color w:val="000000"/>
            <w:sz w:val="28"/>
            <w:szCs w:val="28"/>
          </w:rPr>
          <w:t>службы</w:t>
        </w:r>
      </w:hyperlink>
      <w:r w:rsidR="00885DB4" w:rsidRPr="00F53FFB">
        <w:rPr>
          <w:rFonts w:ascii="Times New Roman" w:hAnsi="Times New Roman" w:cs="Times New Roman"/>
          <w:color w:val="000000"/>
          <w:sz w:val="28"/>
          <w:szCs w:val="28"/>
        </w:rPr>
        <w:t xml:space="preserve"> по надзору в сфере защиты прав потребителей и благополучия человека (далее по тексту – Управление) является территориальным органом федеральным органа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</w:p>
    <w:p w:rsidR="00885DB4" w:rsidRPr="00F53FFB" w:rsidRDefault="00885DB4" w:rsidP="00F53FFB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FB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государственный контроль (надзор) осуществляется государственными гражданскими служащими Управления в соответствии с Положением об Управлении, утвержденного приказом Роспотребнадзора №701 от 09.07.2012года «Об утверждении Положения о Федеральной службе по надзору в сфере защиты прав потребителей и благополучия человека».</w:t>
      </w:r>
    </w:p>
    <w:p w:rsidR="00885DB4" w:rsidRPr="00F53FFB" w:rsidRDefault="00885DB4" w:rsidP="00F53FFB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3FFB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Государственный контроль (надзор) - одна из основных функций государства, осуществляемая в целях контроля исполнения нормативных правовых актов, устанавливающих обязательные требования.</w:t>
      </w:r>
    </w:p>
    <w:p w:rsidR="00885DB4" w:rsidRPr="00F53FFB" w:rsidRDefault="00885DB4" w:rsidP="00F53FFB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3F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Осуществление государственного контроля (надзора)  направлено на предупреждение нарушения прав, пресечение нарушений обязательных требований, наказание виновных лиц. </w:t>
      </w:r>
    </w:p>
    <w:p w:rsidR="00885DB4" w:rsidRPr="00F53FFB" w:rsidRDefault="00885DB4" w:rsidP="00F53FFB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Одной из основных форм контрольно-надзорной деятельности являются проверки, под которыми понимается </w:t>
      </w:r>
      <w:r w:rsidRPr="00F53FFB">
        <w:rPr>
          <w:rFonts w:ascii="Times New Roman" w:hAnsi="Times New Roman" w:cs="Times New Roman"/>
          <w:color w:val="000000"/>
          <w:sz w:val="28"/>
          <w:szCs w:val="28"/>
        </w:rPr>
        <w:t xml:space="preserve">совокупность проводимых органом государственного контроля (надзора) в отношении юридического лица, индивидуального предпринимателя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требованиям. </w:t>
      </w:r>
    </w:p>
    <w:p w:rsidR="00885DB4" w:rsidRPr="00F53FFB" w:rsidRDefault="00885DB4" w:rsidP="00F53FFB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3FFB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Контрольно-надзорная деятельность реализуется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885DB4" w:rsidRPr="00F53FFB" w:rsidRDefault="00885DB4" w:rsidP="00F53FFB">
      <w:pPr>
        <w:autoSpaceDE w:val="0"/>
        <w:autoSpaceDN w:val="0"/>
        <w:adjustRightInd w:val="0"/>
        <w:spacing w:after="0" w:line="360" w:lineRule="auto"/>
        <w:ind w:firstLine="964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lastRenderedPageBreak/>
        <w:t>Целью установления административного наказания является формирование юридической ответственности у хозяйствующих субъектов. Данная форма государственного принуждения - одна из важнейших составляющих деятельности Управления, поскольку применение мер административного воздействия к лицам, совершившим административное правонарушение, оказывает профилактическое воздействие не только на правонарушителей, но и на остальных граждан и юридических лиц.</w:t>
      </w:r>
    </w:p>
    <w:p w:rsidR="006200F9" w:rsidRPr="00F53FFB" w:rsidRDefault="006200F9" w:rsidP="00F53FF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Введение ограничений на проведение в 2022 г. контрольных (надзорных) мероприятий, а также соответствующие изменения в Кодекс РФ об административных правонарушениях, регламентирующие порядок привлечения к административной ответственности, привели к снижению количества применяемых мер административного принуждения по сравнению с предыдущими годами, а также изменению структуры административных составов.</w:t>
      </w:r>
    </w:p>
    <w:p w:rsidR="006200F9" w:rsidRPr="00F53FFB" w:rsidRDefault="006200F9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За 2022 год должностными лицами Управления было составлено 3476 протоколов об административных правонарушениях, что на 38,6% меньше количества протоколов, составленных должностными лицами Управления  за 2021 год, и на 17% меньше количества протоколов за 2020 год.</w:t>
      </w:r>
    </w:p>
    <w:p w:rsidR="00141B7F" w:rsidRPr="00F53FFB" w:rsidRDefault="00141B7F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За нарушения, выявленные в сфере охраны здоровья граждан от воздействия окружающего табачного дыма и последствий потребления табака, за 2022 г. было составлено 20 протоколов об административных правонарушениях по 8 из 9 предусмотренных Кодексом РФ об административных правонарушениях составам. По результатам рассмотрения было наложено 20 административных штрафов на сумму 389 100 рублей (средняя сумма – 19 455) и вынесено 2 предупреждения. </w:t>
      </w:r>
    </w:p>
    <w:p w:rsidR="00141B7F" w:rsidRPr="00F53FFB" w:rsidRDefault="00141B7F" w:rsidP="00F53FF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ab/>
        <w:t xml:space="preserve">Особое внимание продолжалось уделяться работе по </w:t>
      </w:r>
      <w:proofErr w:type="spellStart"/>
      <w:r w:rsidRPr="00F53FFB">
        <w:rPr>
          <w:rFonts w:ascii="Times New Roman" w:hAnsi="Times New Roman" w:cs="Times New Roman"/>
          <w:sz w:val="28"/>
          <w:szCs w:val="28"/>
        </w:rPr>
        <w:t>правоприменению</w:t>
      </w:r>
      <w:proofErr w:type="spellEnd"/>
      <w:r w:rsidRPr="00F53FFB">
        <w:rPr>
          <w:rFonts w:ascii="Times New Roman" w:hAnsi="Times New Roman" w:cs="Times New Roman"/>
          <w:sz w:val="28"/>
          <w:szCs w:val="28"/>
        </w:rPr>
        <w:t xml:space="preserve"> составов Кодекса РФ об административных правонарушениях в сфере технического регулирования. </w:t>
      </w:r>
    </w:p>
    <w:p w:rsidR="00141B7F" w:rsidRPr="00F53FFB" w:rsidRDefault="00141B7F" w:rsidP="00F53F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За 2022 г. по факту нарушений требований технических регламентов (ст.ст.14.43-14.46.2 КоАП РФ) было возбуждено 402 дела об </w:t>
      </w:r>
      <w:r w:rsidRPr="00F53FFB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 (11,6% от общего количества протоколов), наложен 341 административный штраф непосредственно Управлением и 80 штрафов судом по материалам Управления. Общая сумма штрафов наложенных Управлением за нарушения требований технических регламентов составила 4 911 000 рублей, судом – 32 450 000</w:t>
      </w:r>
      <w:r w:rsidRPr="00F53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 xml:space="preserve">рублей. Кроме того, было вынесено 34 предупреждения (9,1% от общего количества наказаний в сфере технического регулирования). </w:t>
      </w:r>
    </w:p>
    <w:p w:rsidR="00141B7F" w:rsidRPr="00F53FFB" w:rsidRDefault="00141B7F" w:rsidP="00F53F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Доля составленных по указанным составам протоколов об административных правонарушениях в отношении юридических лиц составила 22,9% (92 ЮЛ), индивидуальных предпринимателей – 4% (16 ИП), должностных лиц – 49,5% (199 ДЛ), граждан – 23,6% (95 граждан).</w:t>
      </w:r>
    </w:p>
    <w:p w:rsidR="00141B7F" w:rsidRPr="00F53FFB" w:rsidRDefault="00141B7F" w:rsidP="00F53F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Для сравнения,  за 2021 год Управлением в сфере технического регулирования было возбуждено 891 дело (15,7% от общего количества протоколов), по которым Управлением наложено 689 штрафов на сумму 15 621 000 рублей, судом – 58 штрафов на сумму 20 402 000 рублей, а также вынесено 45 предупреждений;</w:t>
      </w:r>
      <w:r w:rsidR="00350825" w:rsidRPr="00F53FFB">
        <w:rPr>
          <w:rFonts w:ascii="Times New Roman" w:hAnsi="Times New Roman" w:cs="Times New Roman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за 2020 г. Управлением в сфере технического регулирования было возбуждено 543 дела (13% дел от общего количества протоколов), по которым Управлением наложено 482 административных штрафа сумму 8 591 000 рублей, судом 4 штрафа на сумму 760 000</w:t>
      </w:r>
      <w:r w:rsidRPr="00F53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рублей, а также вынесено 32 предупреждения (6,2%).</w:t>
      </w:r>
    </w:p>
    <w:p w:rsidR="00141B7F" w:rsidRPr="00F53FFB" w:rsidRDefault="00141B7F" w:rsidP="00F53F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Таким образом, количество возбужденных дел об административных правонарушениях за нарушения технических регламентов по сравнению с прошлым годом уменьшилось на 4,1%. При этом на 4,3% возросло количество привлекаемых к административной ответственности юридических лиц.</w:t>
      </w:r>
    </w:p>
    <w:p w:rsidR="00141B7F" w:rsidRPr="00F53FFB" w:rsidRDefault="00141B7F" w:rsidP="00F53F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Наиболее применяемыми составами КоАП РФ в сфере технического регулирования являлись ч.1 ст.14.43 – 53%, ч.2 ст.14.43 – 33,3%, ч.3 ст.14.43 – 13,4%. В 2021 г. доля протоколов по указанным статьям составляла ч.1 ст.14.43 – 46,2%, ч.2 ст.14.43 – 41,8%, ч.3 ст.14.43 – 11,7%., в 2020 г. - ч.1 ст.14.43 – 45,5%, ч.2 ст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.14.43 –51,6%, ч.3 ст.14.43 – 2%. </w:t>
      </w:r>
    </w:p>
    <w:p w:rsidR="00141B7F" w:rsidRPr="00F53FFB" w:rsidRDefault="00141B7F" w:rsidP="00F53FF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Всего по результатам рассмотрения дел об административных правонарушениях должностными лицами Управления, уполномоченными на рассмотрение дел,  в 2022 году вынесено 3210 постановлений о назначении административных наказаний, из которых 2589 (80,7%) – постановления о наложении административного штрафа, 621 (19,3%) – о вынесении предупреждений. </w:t>
      </w:r>
    </w:p>
    <w:p w:rsidR="009C24B1" w:rsidRPr="00F53FFB" w:rsidRDefault="009C24B1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За 2022 г. в соответствии со статьей 4.1.1 КоАП РФ, позволяющей применять предупреждение, даже если данный вид административного наказания </w:t>
      </w:r>
      <w:r w:rsidRPr="00F53FFB">
        <w:rPr>
          <w:rFonts w:ascii="Times New Roman" w:hAnsi="Times New Roman" w:cs="Times New Roman"/>
          <w:bCs/>
          <w:sz w:val="28"/>
          <w:szCs w:val="28"/>
        </w:rPr>
        <w:t xml:space="preserve">не предусмотрен соответствующей статьей КоАП РФ, было применено 333 предупреждения, что составляет 53,6% всех предупреждений. </w:t>
      </w:r>
    </w:p>
    <w:p w:rsidR="009C24B1" w:rsidRPr="00F53FFB" w:rsidRDefault="009C24B1" w:rsidP="00F53F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bCs/>
          <w:sz w:val="28"/>
          <w:szCs w:val="28"/>
        </w:rPr>
        <w:t xml:space="preserve">Данное обстоятельство обусловлено особенностями применения ст.4.1.1 КоАП РФ, согласно которым предупреждение может быть вынесено </w:t>
      </w:r>
      <w:r w:rsidRPr="00F53FFB">
        <w:rPr>
          <w:rFonts w:ascii="Times New Roman" w:hAnsi="Times New Roman" w:cs="Times New Roman"/>
          <w:sz w:val="28"/>
          <w:szCs w:val="28"/>
        </w:rPr>
        <w:t xml:space="preserve"> за впервые совершенное административное правонарушение,</w:t>
      </w:r>
      <w:r w:rsidRPr="00F5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при отсутствии причинения вреда или возникновения угрозы причинения вреда жизни и здоровью людей, а также при отсутствии имущественного ущерба.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Число вынесенных постановлений о назначении административного наказания в сегменте санитарно-эпидемиологического законодательства составило 2967   постановлений.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Из них 2438 (82,2%) постановлений о назначении наказания в виде административного штрафа на сумму 14 973 200 рублей</w:t>
      </w:r>
      <w:r w:rsidRPr="00F53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и 529 предупреждений (17,8%)</w:t>
      </w:r>
      <w:r w:rsidR="00350825" w:rsidRPr="00F53FFB">
        <w:rPr>
          <w:rFonts w:ascii="Times New Roman" w:hAnsi="Times New Roman" w:cs="Times New Roman"/>
          <w:sz w:val="28"/>
          <w:szCs w:val="28"/>
        </w:rPr>
        <w:t>,</w:t>
      </w:r>
      <w:r w:rsidRPr="00F53FFB">
        <w:rPr>
          <w:rFonts w:ascii="Times New Roman" w:hAnsi="Times New Roman" w:cs="Times New Roman"/>
          <w:sz w:val="28"/>
          <w:szCs w:val="28"/>
        </w:rPr>
        <w:t xml:space="preserve"> штрафа на сумму 34 787 100 рублей и 328 (8,3%) предупреждений, штрафа на сумму 17 493 500 рублей и 254 (11,9%) предупреждения). </w:t>
      </w:r>
      <w:proofErr w:type="gramEnd"/>
    </w:p>
    <w:p w:rsidR="00350825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Число вынесенных постановлений о назначении административного наказания в сегменте защиты прав потребителей составило 243 постановления. Из них 151 (62,1%) административный штраф на сумму 1 718 200 руб</w:t>
      </w:r>
      <w:r w:rsidR="00EB3FA2">
        <w:rPr>
          <w:rFonts w:ascii="Times New Roman" w:hAnsi="Times New Roman" w:cs="Times New Roman"/>
          <w:sz w:val="28"/>
          <w:szCs w:val="28"/>
        </w:rPr>
        <w:t>лей и 92 (37,9%) предупреждения</w:t>
      </w:r>
      <w:r w:rsidR="00350825" w:rsidRPr="00F53FFB">
        <w:rPr>
          <w:rFonts w:ascii="Times New Roman" w:hAnsi="Times New Roman" w:cs="Times New Roman"/>
          <w:sz w:val="28"/>
          <w:szCs w:val="28"/>
        </w:rPr>
        <w:t>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Средняя сумма административных штрафов вынесенных совместно Управлением и судом (по материалам Управления) в 2022 г. составила 19 004,9</w:t>
      </w:r>
      <w:r w:rsidR="00EB3FA2" w:rsidRPr="00EB3FA2">
        <w:rPr>
          <w:rFonts w:ascii="Times New Roman" w:hAnsi="Times New Roman" w:cs="Times New Roman"/>
          <w:sz w:val="28"/>
          <w:szCs w:val="28"/>
        </w:rPr>
        <w:t>0</w:t>
      </w:r>
      <w:r w:rsidRPr="00F53FFB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lastRenderedPageBreak/>
        <w:t>При этом средняя сумма административных штрафов за выявленные нарушения санитарного законодательства в 2022 году составила 6142,5</w:t>
      </w:r>
      <w:r w:rsidR="00EB3FA2" w:rsidRPr="00EB3FA2">
        <w:rPr>
          <w:rFonts w:ascii="Times New Roman" w:hAnsi="Times New Roman" w:cs="Times New Roman"/>
          <w:sz w:val="28"/>
          <w:szCs w:val="28"/>
        </w:rPr>
        <w:t>0</w:t>
      </w:r>
      <w:r w:rsidRPr="00F53FFB">
        <w:rPr>
          <w:rFonts w:ascii="Times New Roman" w:hAnsi="Times New Roman" w:cs="Times New Roman"/>
          <w:sz w:val="28"/>
          <w:szCs w:val="28"/>
        </w:rPr>
        <w:t xml:space="preserve"> руб., за нарушения законодательства в сфере защиты прав потребителей – 11378,8</w:t>
      </w:r>
      <w:r w:rsidR="00EB3FA2" w:rsidRPr="00EB3FA2">
        <w:rPr>
          <w:rFonts w:ascii="Times New Roman" w:hAnsi="Times New Roman" w:cs="Times New Roman"/>
          <w:sz w:val="28"/>
          <w:szCs w:val="28"/>
        </w:rPr>
        <w:t>0</w:t>
      </w:r>
      <w:r w:rsidRPr="00F53FFB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При этом за нарушения требований санитарного законодательства к административной ответственности в 2022 г. было привлечено 595 юридических лиц (20,1% от общего количества привлеченных лиц), 2128 должностных лиц (71,7 %), 59 индивидуальных предпринимателя (2%), 185 граждан (6,2%) (в 2021 г. 925 ЮЛ (23,4%), 2567 ДЛ (64,8%), 178 ИП (4,5%), 291 гражданин (7,3%); в 2020 г. 550 ЮЛ (25,7%), 1166 ДЛ (54,6%), 268 ИП (12,5%), 152 гражданина (7,1%)).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FB">
        <w:rPr>
          <w:rFonts w:ascii="Times New Roman" w:hAnsi="Times New Roman" w:cs="Times New Roman"/>
          <w:sz w:val="28"/>
          <w:szCs w:val="28"/>
        </w:rPr>
        <w:t>За нарушения законодательства в сфере защиты прав потребителей было привлечено 111 юридических лиц (45,7%), 64  должностных лица (26,3%), 16 индивидуальных предпринимателей (6,6%) и 52 гражданина (21,4%) (в 2021 г. – 320 ЮЛ (50,2%), 109 ДЛ (17,1%) 114 ИП (17,9%), 95  граждан (14,9%); в 2020 г. – 283 ЮЛ (45,9%), 94 ДЛ (15,3%) 163 ИП (26,5%), 76 граждан (12,3%)).</w:t>
      </w:r>
      <w:proofErr w:type="gramEnd"/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За 2022 г.</w:t>
      </w:r>
      <w:r w:rsidRPr="00F53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 дел об административных правонарушениях  было внесено  2809 </w:t>
      </w:r>
      <w:r w:rsidRPr="00F53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представлений об устранении причин и условий, способствовавших совершению административного правонарушения. Таким образом, удельный вес административных дел, в ходе рассмотрения которых внесены представления об устранении причин и условий, способствующих правонарушению, составил в 2022 г. 87,5%.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При этом доля представлений при рассмотрении дел об административных правонарушениях за нарушения санитарного законодательства составила 91,9%, за нарушения законодательства в сфере защиты прав потребителей – 33,3</w:t>
      </w:r>
      <w:r w:rsidR="00350825" w:rsidRPr="00F53FFB">
        <w:rPr>
          <w:rFonts w:ascii="Times New Roman" w:hAnsi="Times New Roman" w:cs="Times New Roman"/>
          <w:sz w:val="28"/>
          <w:szCs w:val="28"/>
        </w:rPr>
        <w:t>%.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Внесение представлений об устранении причин и условий, способствовавших совершению административных правонарушений, является превентивной мерой, направленной на профилактику </w:t>
      </w:r>
      <w:r w:rsidRPr="00F53FFB">
        <w:rPr>
          <w:rFonts w:ascii="Times New Roman" w:hAnsi="Times New Roman" w:cs="Times New Roman"/>
          <w:sz w:val="28"/>
          <w:szCs w:val="28"/>
        </w:rPr>
        <w:lastRenderedPageBreak/>
        <w:t>правонарушений в дальнейшем, в связи с чем</w:t>
      </w:r>
      <w:r w:rsidR="00EB3FA2">
        <w:rPr>
          <w:rFonts w:ascii="Times New Roman" w:hAnsi="Times New Roman" w:cs="Times New Roman"/>
          <w:sz w:val="28"/>
          <w:szCs w:val="28"/>
        </w:rPr>
        <w:t>,</w:t>
      </w:r>
      <w:r w:rsidRPr="00F53FFB">
        <w:rPr>
          <w:rFonts w:ascii="Times New Roman" w:hAnsi="Times New Roman" w:cs="Times New Roman"/>
          <w:sz w:val="28"/>
          <w:szCs w:val="28"/>
        </w:rPr>
        <w:t xml:space="preserve"> вопрос о ее применении рассматривается в каждом случае при привлечении к административной ответственности.</w:t>
      </w:r>
    </w:p>
    <w:p w:rsidR="009C24B1" w:rsidRPr="00F53FFB" w:rsidRDefault="009C24B1" w:rsidP="00F53FF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 xml:space="preserve">Одной из приоритетных задач Управления продолжает оставаться задача по </w:t>
      </w:r>
      <w:proofErr w:type="gramStart"/>
      <w:r w:rsidRPr="00F53FFB">
        <w:rPr>
          <w:sz w:val="28"/>
          <w:szCs w:val="28"/>
        </w:rPr>
        <w:t>контролю за</w:t>
      </w:r>
      <w:proofErr w:type="gramEnd"/>
      <w:r w:rsidRPr="00F53FFB">
        <w:rPr>
          <w:sz w:val="28"/>
          <w:szCs w:val="28"/>
        </w:rPr>
        <w:t xml:space="preserve"> взысканием административных штрафов. </w:t>
      </w:r>
      <w:proofErr w:type="spellStart"/>
      <w:r w:rsidRPr="00F53FFB">
        <w:rPr>
          <w:sz w:val="28"/>
          <w:szCs w:val="28"/>
        </w:rPr>
        <w:t>Взыскиваемость</w:t>
      </w:r>
      <w:proofErr w:type="spellEnd"/>
      <w:r w:rsidRPr="00F53FFB">
        <w:rPr>
          <w:sz w:val="28"/>
          <w:szCs w:val="28"/>
        </w:rPr>
        <w:t xml:space="preserve"> административных штрафов в 2022 г. составила 97%. Сумма уплачен</w:t>
      </w:r>
      <w:r w:rsidR="00350825" w:rsidRPr="00F53FFB">
        <w:rPr>
          <w:sz w:val="28"/>
          <w:szCs w:val="28"/>
        </w:rPr>
        <w:t>ных штрафов – 58 668 000 рублей.</w:t>
      </w:r>
    </w:p>
    <w:p w:rsidR="00EB3FA2" w:rsidRPr="00F53FFB" w:rsidRDefault="00EB3FA2" w:rsidP="00EB3F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Федеральным законом от 14.07.2022 N 290-ФЗ "О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 изменен порядок оплаты административных штрафов.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В настоящее время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proofErr w:type="gramEnd"/>
    </w:p>
    <w:p w:rsidR="009C24B1" w:rsidRPr="00F53FFB" w:rsidRDefault="009C24B1" w:rsidP="00F53F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При этом сумма уплаченных штрафов по постановлениям непосредственно Управления составила 18 277 000 рублей, что составляет 96,6%. Сумма уплаченных административных штрафов за нарушения санитарного законодательства составила 17 092 600 рублей, за нарушения  законодательства в сфере защиты прав потребителей – 1 184 800 рублей. </w:t>
      </w:r>
    </w:p>
    <w:p w:rsidR="009C24B1" w:rsidRPr="00F53FFB" w:rsidRDefault="009C24B1" w:rsidP="00F53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В 2022 г. по материалам Управления судом было вынесено 282 постановления: </w:t>
      </w:r>
    </w:p>
    <w:p w:rsidR="009C24B1" w:rsidRPr="00F53FFB" w:rsidRDefault="009C24B1" w:rsidP="00F53FF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 xml:space="preserve">из них 249 административных штрафов (88,3%), </w:t>
      </w:r>
    </w:p>
    <w:p w:rsidR="009C24B1" w:rsidRPr="00F53FFB" w:rsidRDefault="009C24B1" w:rsidP="00F53FF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>1 административный штраф с конфискацией предмета административного правонарушения,</w:t>
      </w:r>
    </w:p>
    <w:p w:rsidR="009C24B1" w:rsidRPr="00F53FFB" w:rsidRDefault="009C24B1" w:rsidP="00F53FF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lastRenderedPageBreak/>
        <w:t xml:space="preserve">13 предупреждений (4,6%), </w:t>
      </w:r>
    </w:p>
    <w:p w:rsidR="009C24B1" w:rsidRPr="00F53FFB" w:rsidRDefault="009C24B1" w:rsidP="00F53FF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 xml:space="preserve">19 постановлений о приостановлении деятельности объектов (6,7%). 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Количество направленных для рассмотрения в суд материалов в 2022 г. уменьшилось в 3,7 раз и составило 301 протокол. Данное обстоятельство обусловлено введением ограничения на проведение контрольных (надзорных) мероприятий, в том числе по контролю исполнения предписаний, и, как следствие, преобладанием применения административных составов, решение по которым принимается непосредственно Управлением.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Лидирующее положение по числу направляемых в суд материалов занимают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.2 ст.6.3 КоАП РФ – 121 (40,2%), ч.3 ст.14.43 – 54 (17,9%), ч.1  ст.19.5 КоАП РФ– 34 (11,3%), ч.4 ст.15.12 – 24 (8%), ст.19.7 – 18 (6%) протоколов. 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Доля дел о привлечении к административной ответственности, по которым судами принято решение о назначении административного наказания составила 95,3%, по которым производство по делу прекращено – 4,7%.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Кроме того, судом по материалам Управления в 2022 г. была приостановлена деятельность 19 хозяйствующих субъектов. Из них 5 индивидуальных предпринимателей и 14 юридических лиц.</w:t>
      </w:r>
    </w:p>
    <w:p w:rsidR="009C24B1" w:rsidRPr="00F53FFB" w:rsidRDefault="009C24B1" w:rsidP="00F53FF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 xml:space="preserve">При этом в 11 случаях приостановление деятельности было применено по результатам рассмотрения дел, возбужденных по </w:t>
      </w:r>
      <w:proofErr w:type="gramStart"/>
      <w:r w:rsidRPr="00F53FFB">
        <w:rPr>
          <w:sz w:val="28"/>
          <w:szCs w:val="28"/>
        </w:rPr>
        <w:t>ч</w:t>
      </w:r>
      <w:proofErr w:type="gramEnd"/>
      <w:r w:rsidRPr="00F53FFB">
        <w:rPr>
          <w:sz w:val="28"/>
          <w:szCs w:val="28"/>
        </w:rPr>
        <w:t xml:space="preserve">.2 ст.6.3 КоАП РФ, </w:t>
      </w:r>
    </w:p>
    <w:p w:rsidR="009C24B1" w:rsidRPr="00F53FFB" w:rsidRDefault="009C24B1" w:rsidP="00F53FF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 xml:space="preserve">в 1 случае деятельность объектов была приостановлена за нарушения санитарно-эпидемиологических требований к организации питания населения в специально оборудованных местах (ст.6.6 КоАП РФ), </w:t>
      </w:r>
    </w:p>
    <w:p w:rsidR="009C24B1" w:rsidRPr="00F53FFB" w:rsidRDefault="009C24B1" w:rsidP="00F53FF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>в 4 случаях деятельность объекта была приостановлена за нарушения санитарно-эпидемиологических требований к питьевой воде, а также к питьевому и хозяйственно-бытовому водоснабжению (ст.6.5 КоАП РФ),</w:t>
      </w:r>
    </w:p>
    <w:p w:rsidR="009C24B1" w:rsidRPr="00F53FFB" w:rsidRDefault="009C24B1" w:rsidP="00F53FF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lastRenderedPageBreak/>
        <w:t>3 объекта приостановлено за нарушение общих санитарно-эпидемиологических требований (</w:t>
      </w:r>
      <w:proofErr w:type="gramStart"/>
      <w:r w:rsidRPr="00F53FFB">
        <w:rPr>
          <w:sz w:val="28"/>
          <w:szCs w:val="28"/>
        </w:rPr>
        <w:t>ч</w:t>
      </w:r>
      <w:proofErr w:type="gramEnd"/>
      <w:r w:rsidRPr="00F53FFB">
        <w:rPr>
          <w:sz w:val="28"/>
          <w:szCs w:val="28"/>
        </w:rPr>
        <w:t>.1 ст.6.3 КоАП РФ).</w:t>
      </w:r>
    </w:p>
    <w:p w:rsidR="009C24B1" w:rsidRPr="00F53FFB" w:rsidRDefault="009C24B1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За 2022 год было подано 43 исковых заявления в суды общей юрисдикции о понуждении к выполнению требований санитарного законодательства. Большинство исков было направлено по нарушениям в области здравоохранения и предоставления коммунальных услуг (23, из них 13 в сфере водоснабжения), деятельности детских и подростковых организаций (9), розничной торговли продуктами питания (8), общественного питания (1), в сфере промышленности (1), эксплуатации транспортных средств (1).</w:t>
      </w:r>
    </w:p>
    <w:p w:rsidR="009C24B1" w:rsidRPr="00F53FFB" w:rsidRDefault="009C24B1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По результатам рассмотрения судами удовлетворено 24 исковых  заявления, часть исковых заявлений остается на рассмотрении.</w:t>
      </w:r>
      <w:r w:rsidR="00866B71" w:rsidRPr="00F53FFB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AB3E0D" w:rsidRPr="00F53FFB" w:rsidRDefault="00AB3E0D" w:rsidP="00F53FF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>В адрес Управления поступили обращения с жалобами на проведение в магазине ООО «Тандем</w:t>
      </w:r>
      <w:r w:rsidR="00D22513">
        <w:rPr>
          <w:sz w:val="28"/>
          <w:szCs w:val="28"/>
        </w:rPr>
        <w:t xml:space="preserve"> </w:t>
      </w:r>
      <w:r w:rsidRPr="00F53FFB">
        <w:rPr>
          <w:sz w:val="28"/>
          <w:szCs w:val="28"/>
        </w:rPr>
        <w:t xml:space="preserve">- Сервис», расположенном на первом этаже жилого многоквартирного дома </w:t>
      </w:r>
      <w:proofErr w:type="spellStart"/>
      <w:proofErr w:type="gramStart"/>
      <w:r w:rsidRPr="00F53FFB">
        <w:rPr>
          <w:sz w:val="28"/>
          <w:szCs w:val="28"/>
        </w:rPr>
        <w:t>погрузочно</w:t>
      </w:r>
      <w:proofErr w:type="spellEnd"/>
      <w:r w:rsidR="00D22513">
        <w:rPr>
          <w:sz w:val="28"/>
          <w:szCs w:val="28"/>
        </w:rPr>
        <w:t xml:space="preserve"> </w:t>
      </w:r>
      <w:r w:rsidRPr="00F53FFB">
        <w:rPr>
          <w:sz w:val="28"/>
          <w:szCs w:val="28"/>
        </w:rPr>
        <w:t>- разгрузочных</w:t>
      </w:r>
      <w:proofErr w:type="gramEnd"/>
      <w:r w:rsidRPr="00F53FFB">
        <w:rPr>
          <w:sz w:val="28"/>
          <w:szCs w:val="28"/>
        </w:rPr>
        <w:t xml:space="preserve"> работ со стороны двора жилого дома, где расположены входы в жилые помещения.</w:t>
      </w:r>
    </w:p>
    <w:p w:rsidR="008C25E2" w:rsidRPr="00F53FFB" w:rsidRDefault="00AB3E0D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 В отношении ООО «Тандем</w:t>
      </w:r>
      <w:r w:rsidR="00D22513">
        <w:rPr>
          <w:rFonts w:ascii="Times New Roman" w:hAnsi="Times New Roman" w:cs="Times New Roman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- Сервис», осуществляющего деятельность в магазине проведена внеплановая выездная проверка, согласованная с прокуратурой Нижегородской области, в ходе которой установлены нарушения санитарного законодательства п.2.1 СП 2.3.6.3668-20 «Санитарн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условиям деятельности торговых объектов и рынков, реализующих пищевую продукцию».</w:t>
      </w:r>
    </w:p>
    <w:p w:rsidR="00110E24" w:rsidRPr="00F53FFB" w:rsidRDefault="004F0E8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FB">
        <w:rPr>
          <w:rFonts w:ascii="Times New Roman" w:hAnsi="Times New Roman" w:cs="Times New Roman"/>
          <w:sz w:val="28"/>
          <w:szCs w:val="28"/>
        </w:rPr>
        <w:t>Согласно п. 2.1 СП 2.3.6.3668-20 р</w:t>
      </w:r>
      <w:r w:rsidR="00110E24" w:rsidRPr="00F53FFB">
        <w:rPr>
          <w:rFonts w:ascii="Times New Roman" w:hAnsi="Times New Roman" w:cs="Times New Roman"/>
          <w:sz w:val="28"/>
          <w:szCs w:val="28"/>
        </w:rPr>
        <w:t>азмещение торговых объектов в многоквартирных домах, в том числе установка и эксплуатация в таких торговых объектах стационарных холодильных камер, холодильных агрегатов и грузоподъемников, а также погрузочно-разгрузочные работы в торговых объектах, встроенных, встроено-пристроенных в многоквартирный дом, пристроенных к многоквартирному дому должны осуществляться при условии соблюдения санитарно-эпидемиологических требований к условиям проживания в жилых зданиях и помещениях</w:t>
      </w:r>
      <w:proofErr w:type="gramEnd"/>
      <w:r w:rsidR="00110E24" w:rsidRPr="00F53FFB">
        <w:rPr>
          <w:rFonts w:ascii="Times New Roman" w:hAnsi="Times New Roman" w:cs="Times New Roman"/>
          <w:sz w:val="28"/>
          <w:szCs w:val="28"/>
        </w:rPr>
        <w:t>.</w:t>
      </w:r>
      <w:r w:rsidRPr="00F53FFB">
        <w:rPr>
          <w:rFonts w:ascii="Times New Roman" w:hAnsi="Times New Roman" w:cs="Times New Roman"/>
          <w:sz w:val="28"/>
          <w:szCs w:val="28"/>
        </w:rPr>
        <w:t xml:space="preserve"> </w:t>
      </w:r>
      <w:r w:rsidR="00110E24" w:rsidRPr="00F53FFB">
        <w:rPr>
          <w:rFonts w:ascii="Times New Roman" w:hAnsi="Times New Roman" w:cs="Times New Roman"/>
          <w:sz w:val="28"/>
          <w:szCs w:val="28"/>
        </w:rPr>
        <w:t xml:space="preserve">Не допускается загрузка </w:t>
      </w:r>
      <w:r w:rsidR="00110E24" w:rsidRPr="00F53FFB">
        <w:rPr>
          <w:rFonts w:ascii="Times New Roman" w:hAnsi="Times New Roman" w:cs="Times New Roman"/>
          <w:sz w:val="28"/>
          <w:szCs w:val="28"/>
        </w:rPr>
        <w:lastRenderedPageBreak/>
        <w:t>материалов, продукции, товаров со стороны двора многоквартирного дома, где расположены входы в жилые помещения.</w:t>
      </w:r>
    </w:p>
    <w:p w:rsidR="008C25E2" w:rsidRPr="00F53FFB" w:rsidRDefault="008C25E2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За выявленное в ходе проверки нарушения Управлением составлен протокол об административном правонарушении по ст. 6.4 КоАП РФ «Нарушение санитарно-эпидемиологических требований к эксплуатации жилых помещений и общественных помещений, зданий, сооружений и транспорта».</w:t>
      </w:r>
    </w:p>
    <w:p w:rsidR="008C25E2" w:rsidRPr="00F53FFB" w:rsidRDefault="008C25E2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Решением Автозаводского районного суда Нижегородской области ООО «Танде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 Сервис» привлечено к административной ответственности по ст. 6.4 КоАП РФ с назначением</w:t>
      </w:r>
      <w:r w:rsidR="00F53FFB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F53FFB">
        <w:rPr>
          <w:rFonts w:ascii="Times New Roman" w:hAnsi="Times New Roman" w:cs="Times New Roman"/>
          <w:sz w:val="28"/>
          <w:szCs w:val="28"/>
        </w:rPr>
        <w:t xml:space="preserve"> штрафа.</w:t>
      </w:r>
    </w:p>
    <w:p w:rsidR="00110E24" w:rsidRPr="00F53FFB" w:rsidRDefault="008C25E2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Ввиду неисполнения требований санитарного законодательства и поступления повторных обращений, Управлением направлено исковое заявление в суд с требованием признать бездействие  ООО «Танде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 Сервис» по неисполнению требований действующего санитарного законодательства незаконным, обязать Общество осуществлять деятельность при условии соблюдения санитарно- эпидемиологических требований к условиям проживания в жилых зданиях и помещ</w:t>
      </w:r>
      <w:r w:rsidR="00110E24" w:rsidRPr="00F53FFB">
        <w:rPr>
          <w:rFonts w:ascii="Times New Roman" w:hAnsi="Times New Roman" w:cs="Times New Roman"/>
          <w:sz w:val="28"/>
          <w:szCs w:val="28"/>
        </w:rPr>
        <w:t>ениях в соответствии с п. 2.1</w:t>
      </w:r>
      <w:r w:rsidRPr="00F53FFB">
        <w:rPr>
          <w:rFonts w:ascii="Times New Roman" w:hAnsi="Times New Roman" w:cs="Times New Roman"/>
          <w:sz w:val="28"/>
          <w:szCs w:val="28"/>
        </w:rPr>
        <w:t xml:space="preserve"> </w:t>
      </w:r>
      <w:r w:rsidR="00110E24" w:rsidRPr="00F53FFB">
        <w:rPr>
          <w:rFonts w:ascii="Times New Roman" w:hAnsi="Times New Roman" w:cs="Times New Roman"/>
          <w:sz w:val="28"/>
          <w:szCs w:val="28"/>
        </w:rPr>
        <w:t xml:space="preserve">СП 2.3.6.3668-20- не допускать проведение </w:t>
      </w:r>
      <w:proofErr w:type="spellStart"/>
      <w:r w:rsidR="00110E24" w:rsidRPr="00F53FFB">
        <w:rPr>
          <w:rFonts w:ascii="Times New Roman" w:hAnsi="Times New Roman" w:cs="Times New Roman"/>
          <w:sz w:val="28"/>
          <w:szCs w:val="28"/>
        </w:rPr>
        <w:t>погрузочно</w:t>
      </w:r>
      <w:proofErr w:type="spellEnd"/>
      <w:r w:rsidR="00110E24" w:rsidRPr="00F53FFB">
        <w:rPr>
          <w:rFonts w:ascii="Times New Roman" w:hAnsi="Times New Roman" w:cs="Times New Roman"/>
          <w:sz w:val="28"/>
          <w:szCs w:val="28"/>
        </w:rPr>
        <w:t>- разгрузочных работ в магазине со стороны двора жилого дома, где расположены входы в жилые помещения.</w:t>
      </w:r>
    </w:p>
    <w:p w:rsidR="00386F2B" w:rsidRPr="00F53FFB" w:rsidRDefault="00AB3E0D" w:rsidP="00F53FF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3FFB">
        <w:rPr>
          <w:sz w:val="28"/>
          <w:szCs w:val="28"/>
        </w:rPr>
        <w:t xml:space="preserve"> </w:t>
      </w:r>
      <w:r w:rsidR="00110E24" w:rsidRPr="00F53FFB">
        <w:rPr>
          <w:sz w:val="28"/>
          <w:szCs w:val="28"/>
        </w:rPr>
        <w:t>По результатам рассмотрения искового заявления, Автозаводским районным судом Нижегородской области исковые требования удовлетворены.</w:t>
      </w:r>
    </w:p>
    <w:p w:rsidR="00F14C92" w:rsidRPr="00F53FFB" w:rsidRDefault="00F14C92" w:rsidP="00F53FF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53FFB">
        <w:rPr>
          <w:sz w:val="28"/>
          <w:szCs w:val="28"/>
        </w:rPr>
        <w:t xml:space="preserve">По результатам проведенных надзорных мероприятий в отношении общеобразовательных учреждений установлены нарушения санитарно-эпидемиологических требований к организациям воспитания и обучения, а именно: пищеблоки школ не полностью обеспечены оборудованием и инвентарем; на пищеблоках используется деформированная кухонная посуда; повреждения гигиенических покрытий стен, потолков, </w:t>
      </w:r>
      <w:r w:rsidRPr="00F53FFB">
        <w:rPr>
          <w:sz w:val="28"/>
          <w:szCs w:val="28"/>
        </w:rPr>
        <w:lastRenderedPageBreak/>
        <w:t>полов; дефекты покрытия мебели в обеденном зале; остекление зала выполнено не из цельного стекла  и т.д.</w:t>
      </w:r>
      <w:proofErr w:type="gramEnd"/>
    </w:p>
    <w:p w:rsidR="00F14C92" w:rsidRPr="00F53FFB" w:rsidRDefault="00F14C92" w:rsidP="00F53FF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F53FFB">
        <w:rPr>
          <w:sz w:val="28"/>
          <w:szCs w:val="28"/>
        </w:rPr>
        <w:t xml:space="preserve">В связи с установленными фактами  должностным лицом территориального отдела Управления направлены исковые заявления об </w:t>
      </w:r>
      <w:proofErr w:type="spellStart"/>
      <w:r w:rsidRPr="00F53FFB">
        <w:rPr>
          <w:sz w:val="28"/>
          <w:szCs w:val="28"/>
        </w:rPr>
        <w:t>обязании</w:t>
      </w:r>
      <w:proofErr w:type="spellEnd"/>
      <w:r w:rsidRPr="00F53FFB">
        <w:rPr>
          <w:sz w:val="28"/>
          <w:szCs w:val="28"/>
        </w:rPr>
        <w:t xml:space="preserve"> общеобразовательным учреждениям устранить нарушения требований санитарного законодательства, а учредителям принять меры для финансирования учреждений.  </w:t>
      </w:r>
      <w:proofErr w:type="gramEnd"/>
    </w:p>
    <w:p w:rsidR="00F14C92" w:rsidRPr="00F53FFB" w:rsidRDefault="00F14C92" w:rsidP="00F53FF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3FFB">
        <w:rPr>
          <w:sz w:val="28"/>
          <w:szCs w:val="28"/>
        </w:rPr>
        <w:t>По результатам рассмотрений судьями районных судов Нижегородской области исковые требования удовлетворены в полном объеме.</w:t>
      </w:r>
    </w:p>
    <w:p w:rsidR="009A40A8" w:rsidRPr="00F53FFB" w:rsidRDefault="00866B71" w:rsidP="00F53FF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F53FFB">
        <w:rPr>
          <w:sz w:val="28"/>
          <w:szCs w:val="28"/>
        </w:rPr>
        <w:t xml:space="preserve">Управлением в ходе мониторинга </w:t>
      </w:r>
      <w:r w:rsidRPr="00F53FFB">
        <w:rPr>
          <w:rFonts w:eastAsiaTheme="minorHAnsi"/>
          <w:sz w:val="28"/>
          <w:szCs w:val="28"/>
        </w:rPr>
        <w:t>информационно-телекоммуникационной сети «Интернет»</w:t>
      </w:r>
      <w:r w:rsidR="00610BD0" w:rsidRPr="00F53FFB">
        <w:rPr>
          <w:rFonts w:eastAsiaTheme="minorHAnsi"/>
          <w:sz w:val="28"/>
          <w:szCs w:val="28"/>
        </w:rPr>
        <w:t xml:space="preserve"> многократно </w:t>
      </w:r>
      <w:r w:rsidRPr="00F53FFB">
        <w:rPr>
          <w:rFonts w:eastAsiaTheme="minorHAnsi"/>
          <w:sz w:val="28"/>
          <w:szCs w:val="28"/>
        </w:rPr>
        <w:t>устан</w:t>
      </w:r>
      <w:r w:rsidR="00610BD0" w:rsidRPr="00F53FFB">
        <w:rPr>
          <w:rFonts w:eastAsiaTheme="minorHAnsi"/>
          <w:sz w:val="28"/>
          <w:szCs w:val="28"/>
        </w:rPr>
        <w:t>овлен</w:t>
      </w:r>
      <w:r w:rsidR="002539DF">
        <w:rPr>
          <w:rFonts w:eastAsiaTheme="minorHAnsi"/>
          <w:sz w:val="28"/>
          <w:szCs w:val="28"/>
        </w:rPr>
        <w:t>о</w:t>
      </w:r>
      <w:r w:rsidR="000A37F5" w:rsidRPr="00F53FFB">
        <w:rPr>
          <w:rFonts w:eastAsiaTheme="minorHAnsi"/>
          <w:sz w:val="28"/>
          <w:szCs w:val="28"/>
        </w:rPr>
        <w:t>,</w:t>
      </w:r>
      <w:r w:rsidR="00610BD0" w:rsidRPr="00F53FFB">
        <w:rPr>
          <w:rFonts w:eastAsiaTheme="minorHAnsi"/>
          <w:sz w:val="28"/>
          <w:szCs w:val="28"/>
        </w:rPr>
        <w:t xml:space="preserve"> </w:t>
      </w:r>
      <w:r w:rsidR="009A40A8" w:rsidRPr="00F53FFB">
        <w:rPr>
          <w:sz w:val="28"/>
          <w:szCs w:val="28"/>
        </w:rPr>
        <w:t>что пользователям предоставляется свободный доступ к сайт</w:t>
      </w:r>
      <w:r w:rsidR="000A37F5" w:rsidRPr="00F53FFB">
        <w:rPr>
          <w:sz w:val="28"/>
          <w:szCs w:val="28"/>
        </w:rPr>
        <w:t>ам</w:t>
      </w:r>
      <w:r w:rsidR="002539DF">
        <w:rPr>
          <w:sz w:val="28"/>
          <w:szCs w:val="28"/>
        </w:rPr>
        <w:t>,</w:t>
      </w:r>
      <w:r w:rsidR="009A40A8" w:rsidRPr="00F53FFB">
        <w:rPr>
          <w:sz w:val="28"/>
          <w:szCs w:val="28"/>
        </w:rPr>
        <w:t xml:space="preserve">  где размещена информация о возможности приобретения и доставки алкогольной</w:t>
      </w:r>
      <w:r w:rsidR="000A37F5" w:rsidRPr="00F53FFB">
        <w:rPr>
          <w:sz w:val="28"/>
          <w:szCs w:val="28"/>
        </w:rPr>
        <w:t xml:space="preserve"> и табачной</w:t>
      </w:r>
      <w:r w:rsidR="009A40A8" w:rsidRPr="00F53FFB">
        <w:rPr>
          <w:sz w:val="28"/>
          <w:szCs w:val="28"/>
        </w:rPr>
        <w:t xml:space="preserve"> продукции </w:t>
      </w:r>
      <w:r w:rsidR="009A40A8" w:rsidRPr="00F53FFB">
        <w:rPr>
          <w:rFonts w:eastAsiaTheme="minorHAnsi"/>
          <w:sz w:val="28"/>
          <w:szCs w:val="28"/>
        </w:rPr>
        <w:t>(водка, виски, коньяк, ром, вино</w:t>
      </w:r>
      <w:r w:rsidR="000A37F5" w:rsidRPr="00F53FFB">
        <w:rPr>
          <w:rFonts w:eastAsiaTheme="minorHAnsi"/>
          <w:sz w:val="28"/>
          <w:szCs w:val="28"/>
        </w:rPr>
        <w:t>, сигареты</w:t>
      </w:r>
      <w:r w:rsidR="009A40A8" w:rsidRPr="00F53FFB">
        <w:rPr>
          <w:rFonts w:eastAsiaTheme="minorHAnsi"/>
          <w:sz w:val="28"/>
          <w:szCs w:val="28"/>
        </w:rPr>
        <w:t xml:space="preserve"> и др.) с указанием цен на товар, что свидетельствует о продаже алкогольной</w:t>
      </w:r>
      <w:r w:rsidR="000A37F5" w:rsidRPr="00F53FFB">
        <w:rPr>
          <w:rFonts w:eastAsiaTheme="minorHAnsi"/>
          <w:sz w:val="28"/>
          <w:szCs w:val="28"/>
        </w:rPr>
        <w:t xml:space="preserve"> и табачной</w:t>
      </w:r>
      <w:r w:rsidR="009A40A8" w:rsidRPr="00F53FFB">
        <w:rPr>
          <w:rFonts w:eastAsiaTheme="minorHAnsi"/>
          <w:sz w:val="28"/>
          <w:szCs w:val="28"/>
        </w:rPr>
        <w:t xml:space="preserve"> продукции дистанционным способом</w:t>
      </w:r>
      <w:r w:rsidR="009A40A8" w:rsidRPr="00F53FFB">
        <w:rPr>
          <w:sz w:val="28"/>
          <w:szCs w:val="28"/>
        </w:rPr>
        <w:t>.</w:t>
      </w:r>
      <w:proofErr w:type="gramEnd"/>
      <w:r w:rsidR="009A40A8" w:rsidRPr="00F53FFB">
        <w:rPr>
          <w:sz w:val="28"/>
          <w:szCs w:val="28"/>
        </w:rPr>
        <w:t xml:space="preserve"> Вход на сайт свободный, не требует предварительной регистрации и пароля, ознакомиться с содержанием указанной страницы и скопировать информацию в электронном виде может любой пользователь сети «Интернет». Информация на сайте распространяется бесплатно, срок пользования не ограничен, ограничения на передачу, копирование и распространение информации отсутствуют. Фактически посредством интернет-сайта осуществляется розничная дистанционная торговля продукцией неограниченному кругу лиц. Распространение указанной информации противоречит политике государства по профилактике алкоголизма среди населения, нарушает установленные требования к реализации алкогольной продукции, а также идет вразрез с целями и задачами действующего законодательства в области защиты прав несовершеннолетних от информации, причиняющей вред их здоровью и развитию</w:t>
      </w:r>
      <w:r w:rsidR="002539DF">
        <w:rPr>
          <w:sz w:val="28"/>
          <w:szCs w:val="28"/>
        </w:rPr>
        <w:t>. Таким образом</w:t>
      </w:r>
      <w:r w:rsidR="009A40A8" w:rsidRPr="00F53FFB">
        <w:rPr>
          <w:sz w:val="28"/>
          <w:szCs w:val="28"/>
        </w:rPr>
        <w:t xml:space="preserve">, вышеуказанная информация должна быть запрещена к распространению на территории Российской Федерации, а </w:t>
      </w:r>
      <w:r w:rsidR="009A40A8" w:rsidRPr="00F53FFB">
        <w:rPr>
          <w:sz w:val="28"/>
          <w:szCs w:val="28"/>
        </w:rPr>
        <w:lastRenderedPageBreak/>
        <w:t>доступ к сайтам, где размещены вышеуказанные информационные материалы,</w:t>
      </w:r>
      <w:r w:rsidR="002539DF">
        <w:rPr>
          <w:sz w:val="28"/>
          <w:szCs w:val="28"/>
        </w:rPr>
        <w:t xml:space="preserve"> </w:t>
      </w:r>
      <w:r w:rsidR="009A40A8" w:rsidRPr="00F53FFB">
        <w:rPr>
          <w:sz w:val="28"/>
          <w:szCs w:val="28"/>
        </w:rPr>
        <w:t xml:space="preserve">должен быть закрыт </w:t>
      </w:r>
      <w:r w:rsidR="002539DF" w:rsidRPr="00F53FFB">
        <w:rPr>
          <w:sz w:val="28"/>
          <w:szCs w:val="28"/>
        </w:rPr>
        <w:t xml:space="preserve">в соответствии с законодательством Российской Федерации </w:t>
      </w:r>
      <w:r w:rsidR="009A40A8" w:rsidRPr="00F53FFB">
        <w:rPr>
          <w:sz w:val="28"/>
          <w:szCs w:val="28"/>
        </w:rPr>
        <w:t xml:space="preserve">ввиду нижеследующего. </w:t>
      </w:r>
    </w:p>
    <w:p w:rsidR="000A37F5" w:rsidRPr="00F53FFB" w:rsidRDefault="000A37F5" w:rsidP="00F53FFB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proofErr w:type="gramStart"/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>В соответствии  с п</w:t>
      </w:r>
      <w:r w:rsidR="002539D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унктом </w:t>
      </w:r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>2 ст</w:t>
      </w:r>
      <w:r w:rsidR="002539DF">
        <w:rPr>
          <w:rFonts w:ascii="Times New Roman" w:hAnsi="Times New Roman"/>
          <w:b w:val="0"/>
          <w:sz w:val="28"/>
          <w:szCs w:val="28"/>
          <w:shd w:val="clear" w:color="auto" w:fill="FFFFFF"/>
        </w:rPr>
        <w:t>атьи</w:t>
      </w:r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16  </w:t>
      </w:r>
      <w:hyperlink r:id="rId10" w:history="1">
        <w:r w:rsidRPr="00F53FFB">
          <w:rPr>
            <w:rFonts w:ascii="Times New Roman" w:hAnsi="Times New Roman"/>
            <w:b w:val="0"/>
            <w:sz w:val="28"/>
            <w:szCs w:val="28"/>
            <w:shd w:val="clear" w:color="auto" w:fill="FFFFFF"/>
          </w:rPr>
          <w:t>Федерального закона от 22.11.1995 N 171-ФЗ 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</w:r>
      </w:hyperlink>
      <w:bookmarkStart w:id="1" w:name="dst100813"/>
      <w:bookmarkStart w:id="2" w:name="dst454"/>
      <w:bookmarkStart w:id="3" w:name="dst588"/>
      <w:bookmarkStart w:id="4" w:name="dst445"/>
      <w:bookmarkStart w:id="5" w:name="dst344"/>
      <w:bookmarkStart w:id="6" w:name="dst100438"/>
      <w:bookmarkStart w:id="7" w:name="dst589"/>
      <w:bookmarkStart w:id="8" w:name="dst345"/>
      <w:bookmarkStart w:id="9" w:name="dst100439"/>
      <w:bookmarkStart w:id="10" w:name="dst590"/>
      <w:bookmarkStart w:id="11" w:name="dst446"/>
      <w:bookmarkStart w:id="12" w:name="dst591"/>
      <w:bookmarkStart w:id="13" w:name="dst100440"/>
      <w:bookmarkStart w:id="14" w:name="dst100444"/>
      <w:bookmarkStart w:id="15" w:name="dst100441"/>
      <w:bookmarkStart w:id="16" w:name="dst346"/>
      <w:bookmarkStart w:id="17" w:name="dst598"/>
      <w:bookmarkStart w:id="18" w:name="dst100442"/>
      <w:bookmarkStart w:id="19" w:name="dst593"/>
      <w:bookmarkStart w:id="20" w:name="dst594"/>
      <w:bookmarkStart w:id="21" w:name="dst595"/>
      <w:bookmarkStart w:id="22" w:name="dst596"/>
      <w:bookmarkStart w:id="23" w:name="dst597"/>
      <w:bookmarkStart w:id="24" w:name="dst599"/>
      <w:bookmarkStart w:id="25" w:name="dst600"/>
      <w:bookmarkStart w:id="26" w:name="dst100443"/>
      <w:bookmarkStart w:id="27" w:name="dst601"/>
      <w:bookmarkStart w:id="28" w:name="dst100445"/>
      <w:bookmarkStart w:id="29" w:name="dst602"/>
      <w:bookmarkStart w:id="30" w:name="dst603"/>
      <w:bookmarkStart w:id="31" w:name="dst604"/>
      <w:bookmarkStart w:id="32" w:name="dst605"/>
      <w:bookmarkStart w:id="33" w:name="dst100446"/>
      <w:bookmarkStart w:id="34" w:name="dst606"/>
      <w:bookmarkStart w:id="35" w:name="dst592"/>
      <w:bookmarkStart w:id="36" w:name="dst627"/>
      <w:bookmarkStart w:id="37" w:name="dst628"/>
      <w:bookmarkStart w:id="38" w:name="dst629"/>
      <w:bookmarkStart w:id="39" w:name="dst630"/>
      <w:bookmarkStart w:id="40" w:name="dst631"/>
      <w:bookmarkStart w:id="41" w:name="dst632"/>
      <w:bookmarkStart w:id="42" w:name="dst633"/>
      <w:bookmarkStart w:id="43" w:name="dst607"/>
      <w:bookmarkStart w:id="44" w:name="dst608"/>
      <w:bookmarkStart w:id="45" w:name="dst609"/>
      <w:bookmarkStart w:id="46" w:name="dst610"/>
      <w:bookmarkStart w:id="47" w:name="dst448"/>
      <w:bookmarkStart w:id="48" w:name="dst348"/>
      <w:bookmarkStart w:id="49" w:name="dst100450"/>
      <w:bookmarkStart w:id="50" w:name="dst611"/>
      <w:bookmarkStart w:id="51" w:name="dst612"/>
      <w:bookmarkStart w:id="52" w:name="dst613"/>
      <w:bookmarkStart w:id="53" w:name="dst248"/>
      <w:bookmarkStart w:id="54" w:name="dst100447"/>
      <w:bookmarkStart w:id="55" w:name="dst614"/>
      <w:bookmarkStart w:id="56" w:name="dst634"/>
      <w:bookmarkStart w:id="57" w:name="dst635"/>
      <w:bookmarkStart w:id="58" w:name="dst100142"/>
      <w:bookmarkStart w:id="59" w:name="dst100143"/>
      <w:bookmarkStart w:id="60" w:name="dst107"/>
      <w:bookmarkStart w:id="61" w:name="dst100448"/>
      <w:bookmarkStart w:id="62" w:name="dst615"/>
      <w:bookmarkStart w:id="63" w:name="dst616"/>
      <w:bookmarkStart w:id="64" w:name="dst617"/>
      <w:bookmarkStart w:id="65" w:name="dst100706"/>
      <w:bookmarkStart w:id="66" w:name="dst618"/>
      <w:bookmarkStart w:id="67" w:name="dst619"/>
      <w:bookmarkStart w:id="68" w:name="dst620"/>
      <w:bookmarkStart w:id="69" w:name="dst447"/>
      <w:bookmarkStart w:id="70" w:name="dst621"/>
      <w:bookmarkStart w:id="71" w:name="dst347"/>
      <w:bookmarkStart w:id="72" w:name="dst100449"/>
      <w:bookmarkStart w:id="73" w:name="dst622"/>
      <w:bookmarkStart w:id="74" w:name="dst623"/>
      <w:bookmarkStart w:id="75" w:name="dst100141"/>
      <w:bookmarkStart w:id="76" w:name="dst220"/>
      <w:bookmarkStart w:id="77" w:name="dst100140"/>
      <w:bookmarkStart w:id="78" w:name="dst624"/>
      <w:bookmarkStart w:id="79" w:name="dst625"/>
      <w:bookmarkStart w:id="80" w:name="dst653"/>
      <w:bookmarkStart w:id="81" w:name="dst652"/>
      <w:bookmarkStart w:id="82" w:name="dst651"/>
      <w:bookmarkStart w:id="83" w:name="dst650"/>
      <w:bookmarkStart w:id="84" w:name="dst100460"/>
      <w:bookmarkStart w:id="85" w:name="dst100437"/>
      <w:bookmarkStart w:id="86" w:name="dst648"/>
      <w:bookmarkStart w:id="87" w:name="dst647"/>
      <w:bookmarkStart w:id="88" w:name="dst100458"/>
      <w:bookmarkStart w:id="89" w:name="dst352"/>
      <w:bookmarkStart w:id="90" w:name="dst646"/>
      <w:bookmarkStart w:id="91" w:name="dst100457"/>
      <w:bookmarkStart w:id="92" w:name="dst351"/>
      <w:bookmarkStart w:id="93" w:name="dst587"/>
      <w:bookmarkStart w:id="94" w:name="dst100144"/>
      <w:bookmarkStart w:id="95" w:name="dst100145"/>
      <w:bookmarkStart w:id="96" w:name="dst108"/>
      <w:bookmarkStart w:id="97" w:name="dst453"/>
      <w:bookmarkStart w:id="98" w:name="dst109"/>
      <w:bookmarkStart w:id="99" w:name="dst110"/>
      <w:bookmarkStart w:id="100" w:name="dst100361"/>
      <w:bookmarkStart w:id="101" w:name="dst111"/>
      <w:bookmarkStart w:id="102" w:name="dst645"/>
      <w:bookmarkStart w:id="103" w:name="dst100456"/>
      <w:bookmarkStart w:id="104" w:name="dst350"/>
      <w:bookmarkStart w:id="105" w:name="dst452"/>
      <w:bookmarkStart w:id="106" w:name="dst100358"/>
      <w:bookmarkStart w:id="107" w:name="dst112"/>
      <w:bookmarkStart w:id="108" w:name="dst113"/>
      <w:bookmarkStart w:id="109" w:name="dst644"/>
      <w:bookmarkStart w:id="110" w:name="dst100146"/>
      <w:bookmarkStart w:id="111" w:name="dst100147"/>
      <w:bookmarkStart w:id="112" w:name="dst114"/>
      <w:bookmarkStart w:id="113" w:name="dst115"/>
      <w:bookmarkStart w:id="114" w:name="dst116"/>
      <w:bookmarkStart w:id="115" w:name="dst117"/>
      <w:bookmarkStart w:id="116" w:name="dst649"/>
      <w:bookmarkStart w:id="117" w:name="dst451"/>
      <w:bookmarkStart w:id="118" w:name="dst100148"/>
      <w:bookmarkStart w:id="119" w:name="dst118"/>
      <w:bookmarkStart w:id="120" w:name="dst100149"/>
      <w:bookmarkStart w:id="121" w:name="dst643"/>
      <w:bookmarkStart w:id="122" w:name="dst626"/>
      <w:bookmarkStart w:id="123" w:name="dst100451"/>
      <w:bookmarkStart w:id="124" w:name="dst100455"/>
      <w:bookmarkStart w:id="125" w:name="dst642"/>
      <w:bookmarkStart w:id="126" w:name="dst100454"/>
      <w:bookmarkStart w:id="127" w:name="dst641"/>
      <w:bookmarkStart w:id="128" w:name="dst100453"/>
      <w:bookmarkStart w:id="129" w:name="dst349"/>
      <w:bookmarkStart w:id="130" w:name="dst450"/>
      <w:bookmarkStart w:id="131" w:name="dst353"/>
      <w:bookmarkStart w:id="132" w:name="dst100459"/>
      <w:bookmarkStart w:id="133" w:name="dst640"/>
      <w:bookmarkStart w:id="134" w:name="dst449"/>
      <w:bookmarkStart w:id="135" w:name="dst639"/>
      <w:bookmarkStart w:id="136" w:name="dst638"/>
      <w:bookmarkStart w:id="137" w:name="dst637"/>
      <w:bookmarkStart w:id="138" w:name="dst636"/>
      <w:bookmarkStart w:id="139" w:name="dst10045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F53FFB">
        <w:rPr>
          <w:rFonts w:ascii="Times New Roman" w:hAnsi="Times New Roman"/>
          <w:b w:val="0"/>
          <w:sz w:val="28"/>
          <w:szCs w:val="28"/>
        </w:rPr>
        <w:t xml:space="preserve"> </w:t>
      </w:r>
      <w:r w:rsidRPr="00F53FF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питания, за исключением случаев, </w:t>
      </w:r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>указанных в </w:t>
      </w:r>
      <w:hyperlink r:id="rId11" w:anchor="dst100844" w:history="1">
        <w:r w:rsidRPr="00F53FFB">
          <w:rPr>
            <w:rFonts w:ascii="Times New Roman" w:hAnsi="Times New Roman"/>
            <w:b w:val="0"/>
            <w:sz w:val="28"/>
            <w:szCs w:val="28"/>
            <w:shd w:val="clear" w:color="auto" w:fill="FFFFFF"/>
          </w:rPr>
          <w:t>пунктах 3</w:t>
        </w:r>
      </w:hyperlink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> и </w:t>
      </w:r>
      <w:hyperlink r:id="rId12" w:anchor="dst100858" w:history="1">
        <w:r w:rsidRPr="00F53FFB">
          <w:rPr>
            <w:rFonts w:ascii="Times New Roman" w:hAnsi="Times New Roman"/>
            <w:b w:val="0"/>
            <w:sz w:val="28"/>
            <w:szCs w:val="28"/>
            <w:shd w:val="clear" w:color="auto" w:fill="FFFFFF"/>
          </w:rPr>
          <w:t>6</w:t>
        </w:r>
      </w:hyperlink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> настоящей статьи, дистанционным способом не</w:t>
      </w:r>
      <w:proofErr w:type="gramEnd"/>
      <w:r w:rsidRPr="00F53FF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допускается.</w:t>
      </w:r>
    </w:p>
    <w:p w:rsidR="00954B6B" w:rsidRPr="00F53FFB" w:rsidRDefault="000A37F5" w:rsidP="00F53FFB">
      <w:pPr>
        <w:pStyle w:val="1"/>
        <w:spacing w:line="360" w:lineRule="auto"/>
        <w:ind w:firstLine="708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F53FFB">
        <w:rPr>
          <w:rFonts w:ascii="Times New Roman" w:hAnsi="Times New Roman"/>
          <w:b w:val="0"/>
          <w:sz w:val="28"/>
          <w:szCs w:val="28"/>
        </w:rPr>
        <w:t xml:space="preserve">С целью признания размещения информации о продаже </w:t>
      </w:r>
      <w:r w:rsidRPr="00F53FFB">
        <w:rPr>
          <w:rFonts w:ascii="Times New Roman" w:eastAsiaTheme="minorHAnsi" w:hAnsi="Times New Roman"/>
          <w:b w:val="0"/>
          <w:sz w:val="28"/>
          <w:szCs w:val="28"/>
        </w:rPr>
        <w:t>алкогольной и табачной продукции на различных сайтах запрещенной</w:t>
      </w:r>
      <w:r w:rsidR="00954B6B" w:rsidRPr="00F53FFB">
        <w:rPr>
          <w:rFonts w:ascii="Times New Roman" w:eastAsiaTheme="minorHAnsi" w:hAnsi="Times New Roman"/>
          <w:b w:val="0"/>
          <w:sz w:val="28"/>
          <w:szCs w:val="28"/>
        </w:rPr>
        <w:t xml:space="preserve">, а также для внесения таких сайтов </w:t>
      </w:r>
      <w:r w:rsidR="00954B6B" w:rsidRPr="00F53FFB">
        <w:rPr>
          <w:rFonts w:ascii="Times New Roman" w:hAnsi="Times New Roman"/>
          <w:b w:val="0"/>
          <w:sz w:val="28"/>
          <w:szCs w:val="28"/>
        </w:rPr>
        <w:t>в Единый реестр доменных имён, указателей страниц сайтов в сети Интернет и сетевых адресов, позволяющих идентифицировать сайты в сети Интернет</w:t>
      </w:r>
      <w:r w:rsidRPr="00F53FFB">
        <w:rPr>
          <w:rFonts w:ascii="Times New Roman" w:eastAsiaTheme="minorHAnsi" w:hAnsi="Times New Roman"/>
          <w:b w:val="0"/>
          <w:sz w:val="28"/>
          <w:szCs w:val="28"/>
        </w:rPr>
        <w:t>, Управлением направлены исковые заявления в суд</w:t>
      </w:r>
      <w:r w:rsidR="00954B6B" w:rsidRPr="00F53FFB">
        <w:rPr>
          <w:rFonts w:ascii="Times New Roman" w:eastAsiaTheme="minorHAnsi" w:hAnsi="Times New Roman"/>
          <w:b w:val="0"/>
          <w:sz w:val="28"/>
          <w:szCs w:val="28"/>
        </w:rPr>
        <w:t xml:space="preserve">. </w:t>
      </w:r>
    </w:p>
    <w:p w:rsidR="000A37F5" w:rsidRPr="00F53FFB" w:rsidRDefault="00954B6B" w:rsidP="00F53FFB">
      <w:pPr>
        <w:pStyle w:val="1"/>
        <w:spacing w:line="360" w:lineRule="auto"/>
        <w:ind w:firstLine="708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F53FFB">
        <w:rPr>
          <w:rFonts w:ascii="Times New Roman" w:eastAsiaTheme="minorHAnsi" w:hAnsi="Times New Roman"/>
          <w:b w:val="0"/>
          <w:sz w:val="28"/>
          <w:szCs w:val="28"/>
        </w:rPr>
        <w:t xml:space="preserve">По результатам рассмотрения, судом вынесены решения об удовлетворении исковых требований в полном объеме. </w:t>
      </w:r>
      <w:r w:rsidR="000A37F5" w:rsidRPr="00F53FFB"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За 2022 год хозяйствующими субъектами было обжаловано в суд 63 постановления по делам об административных правонарушениях, вынесенных должностными лицами Управления,  11 решений и действий (бездействий) должностных лиц, к которым в основном относились предписания об устранении выявленных нарушений.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В целом в  2022 г. судами было рассмотрено 74 дела, где ответчиком выступало Управление. По результатам рассмотрения в пользу Управления вынесено 70 решений, что составляет 94,6%. Количество удовлетворенных судом исков об оспаривании результатов проведенных мероприятий по контролю составило 4 (5,4%).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lastRenderedPageBreak/>
        <w:t>За первое полугодие 2022 г</w:t>
      </w:r>
      <w:r w:rsidR="002539DF">
        <w:rPr>
          <w:rFonts w:ascii="Times New Roman" w:hAnsi="Times New Roman" w:cs="Times New Roman"/>
          <w:sz w:val="28"/>
          <w:szCs w:val="28"/>
        </w:rPr>
        <w:t>.</w:t>
      </w:r>
      <w:r w:rsidRPr="00F53FFB">
        <w:rPr>
          <w:rFonts w:ascii="Times New Roman" w:hAnsi="Times New Roman" w:cs="Times New Roman"/>
          <w:sz w:val="28"/>
          <w:szCs w:val="28"/>
        </w:rPr>
        <w:t xml:space="preserve"> было рассмотрено 55 дел, из них в пользу Управления – 51 (92,7%), за второе полугодие 2022 г. – 19 дел, из них в пользу Управления – 19 (100%).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Количество оставленных судами в 2022 г. в силе постановлений по делам об административных правонарушениях составило 60 (95,2%), предписаний (иных решений, действий) – 10 (90,9%). </w:t>
      </w:r>
    </w:p>
    <w:p w:rsidR="009C24B1" w:rsidRPr="00F53FFB" w:rsidRDefault="009C24B1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Количество отмененных постановлений по делам об административных правонарушениях составило 3 (4,8%), предписаний и иных решений, действий – 1 (9,1%).</w:t>
      </w:r>
    </w:p>
    <w:p w:rsidR="009C24B1" w:rsidRPr="00F53FFB" w:rsidRDefault="002539DF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анализа следует сделать вывод о том, что</w:t>
      </w:r>
      <w:r w:rsidR="009C24B1" w:rsidRPr="00F53FFB">
        <w:rPr>
          <w:rFonts w:ascii="Times New Roman" w:hAnsi="Times New Roman" w:cs="Times New Roman"/>
          <w:sz w:val="28"/>
          <w:szCs w:val="28"/>
        </w:rPr>
        <w:t xml:space="preserve"> введенные ограничения на осуществление контрольной (надзорной) деятельности оказали влияние на характер применяемых мер административного принуждения.</w:t>
      </w:r>
    </w:p>
    <w:p w:rsidR="009C24B1" w:rsidRPr="00F53FFB" w:rsidRDefault="009C24B1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Следует отметить:</w:t>
      </w:r>
    </w:p>
    <w:p w:rsidR="009C24B1" w:rsidRPr="00F53FFB" w:rsidRDefault="002539DF" w:rsidP="00F53FF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9C24B1" w:rsidRPr="00F53FFB">
        <w:rPr>
          <w:sz w:val="28"/>
          <w:szCs w:val="28"/>
        </w:rPr>
        <w:t>величение доли предупреждений среди мер административного принуждения на 6,7%, количества предупреждений по нарушениям санитарного законодательства на 9,5%</w:t>
      </w:r>
      <w:r>
        <w:rPr>
          <w:sz w:val="28"/>
          <w:szCs w:val="28"/>
        </w:rPr>
        <w:t>;</w:t>
      </w:r>
    </w:p>
    <w:p w:rsidR="009C24B1" w:rsidRPr="00F53FFB" w:rsidRDefault="002539DF" w:rsidP="00F53FF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9C24B1" w:rsidRPr="00F53FFB">
        <w:rPr>
          <w:sz w:val="28"/>
          <w:szCs w:val="28"/>
        </w:rPr>
        <w:t>величение количества предупреждений, выносимых на основании ст.4.1.1. КоАП РФ, на 22,1% по сравнению с 2021 г.</w:t>
      </w:r>
      <w:r>
        <w:rPr>
          <w:sz w:val="28"/>
          <w:szCs w:val="28"/>
        </w:rPr>
        <w:t>;</w:t>
      </w:r>
    </w:p>
    <w:p w:rsidR="009C24B1" w:rsidRPr="00F53FFB" w:rsidRDefault="002539DF" w:rsidP="00F53FF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9C24B1" w:rsidRPr="00F53FFB">
        <w:rPr>
          <w:sz w:val="28"/>
          <w:szCs w:val="28"/>
        </w:rPr>
        <w:t xml:space="preserve">величение </w:t>
      </w:r>
      <w:proofErr w:type="spellStart"/>
      <w:r w:rsidR="009C24B1" w:rsidRPr="00F53FFB">
        <w:rPr>
          <w:sz w:val="28"/>
          <w:szCs w:val="28"/>
        </w:rPr>
        <w:t>взыскиваемости</w:t>
      </w:r>
      <w:proofErr w:type="spellEnd"/>
      <w:r w:rsidR="009C24B1" w:rsidRPr="00F53FFB">
        <w:rPr>
          <w:sz w:val="28"/>
          <w:szCs w:val="28"/>
        </w:rPr>
        <w:t xml:space="preserve"> административных штрафов на 2,5%</w:t>
      </w:r>
      <w:r>
        <w:rPr>
          <w:sz w:val="28"/>
          <w:szCs w:val="28"/>
        </w:rPr>
        <w:t>;</w:t>
      </w:r>
    </w:p>
    <w:p w:rsidR="009C24B1" w:rsidRPr="00F53FFB" w:rsidRDefault="002539DF" w:rsidP="00F53FF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9C24B1" w:rsidRPr="00F53FFB">
        <w:rPr>
          <w:rFonts w:eastAsiaTheme="minorHAnsi"/>
          <w:sz w:val="28"/>
          <w:szCs w:val="28"/>
          <w:lang w:eastAsia="en-US"/>
        </w:rPr>
        <w:t>величение доли</w:t>
      </w:r>
      <w:r w:rsidR="009C24B1" w:rsidRPr="00F53FFB">
        <w:rPr>
          <w:sz w:val="28"/>
          <w:szCs w:val="28"/>
        </w:rPr>
        <w:t xml:space="preserve"> дел о привлечении к административной ответственности, по которым судами принято решение о назначении административного наказания с 94,9% до 95,3%</w:t>
      </w:r>
      <w:r>
        <w:rPr>
          <w:sz w:val="28"/>
          <w:szCs w:val="28"/>
        </w:rPr>
        <w:t>;</w:t>
      </w:r>
    </w:p>
    <w:p w:rsidR="009C24B1" w:rsidRPr="00F53FFB" w:rsidRDefault="009C24B1" w:rsidP="00F53FF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F53FFB">
        <w:rPr>
          <w:sz w:val="28"/>
          <w:szCs w:val="28"/>
        </w:rPr>
        <w:t>Увеличение на 7% количества вынесенных в пользу Управления судебных решений по результатам обжалуемых постановлений, действий (решений).</w:t>
      </w:r>
    </w:p>
    <w:p w:rsidR="00885DB4" w:rsidRPr="00F53FFB" w:rsidRDefault="00885DB4" w:rsidP="00F53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Для примера, ниже приведена практика рассмотрения некоторых дел, рассмотренных судами за </w:t>
      </w:r>
      <w:r w:rsidR="00110E24" w:rsidRPr="00F53FFB">
        <w:rPr>
          <w:rFonts w:ascii="Times New Roman" w:hAnsi="Times New Roman" w:cs="Times New Roman"/>
          <w:sz w:val="28"/>
          <w:szCs w:val="28"/>
        </w:rPr>
        <w:t>2022</w:t>
      </w:r>
      <w:r w:rsidRPr="00F53FFB">
        <w:rPr>
          <w:rFonts w:ascii="Times New Roman" w:hAnsi="Times New Roman" w:cs="Times New Roman"/>
          <w:sz w:val="28"/>
          <w:szCs w:val="28"/>
        </w:rPr>
        <w:t>год.</w:t>
      </w:r>
    </w:p>
    <w:p w:rsidR="0031149F" w:rsidRPr="00F53FFB" w:rsidRDefault="00885DB4" w:rsidP="00F53FF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bCs/>
          <w:sz w:val="28"/>
          <w:szCs w:val="28"/>
        </w:rPr>
        <w:lastRenderedPageBreak/>
        <w:t xml:space="preserve">В адрес Управления поступило </w:t>
      </w:r>
      <w:r w:rsidRPr="00F53FFB">
        <w:rPr>
          <w:sz w:val="28"/>
          <w:szCs w:val="28"/>
        </w:rPr>
        <w:t>обращение, в котором указано, чт</w:t>
      </w:r>
      <w:r w:rsidR="0031149F" w:rsidRPr="00F53FFB">
        <w:rPr>
          <w:sz w:val="28"/>
          <w:szCs w:val="28"/>
        </w:rPr>
        <w:t>о акционерным обществом «Почта России» нарушены сроки доставки посылки.</w:t>
      </w:r>
    </w:p>
    <w:p w:rsidR="00101B04" w:rsidRPr="00F53FFB" w:rsidRDefault="00101B04" w:rsidP="00F53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Согласно п. 46 Правил оказания услуг почтовой связи, утв. Приказом </w:t>
      </w:r>
      <w:proofErr w:type="spellStart"/>
      <w:r w:rsidRPr="00F53FFB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F53FFB">
        <w:rPr>
          <w:rFonts w:ascii="Times New Roman" w:hAnsi="Times New Roman" w:cs="Times New Roman"/>
          <w:sz w:val="28"/>
          <w:szCs w:val="28"/>
        </w:rPr>
        <w:t xml:space="preserve"> России от 31.07.2014 N 234</w:t>
      </w:r>
      <w:r w:rsidR="002539DF">
        <w:rPr>
          <w:rFonts w:ascii="Times New Roman" w:hAnsi="Times New Roman" w:cs="Times New Roman"/>
          <w:sz w:val="28"/>
          <w:szCs w:val="28"/>
        </w:rPr>
        <w:t>,</w:t>
      </w:r>
      <w:r w:rsidRPr="00F53FFB">
        <w:rPr>
          <w:rFonts w:ascii="Times New Roman" w:hAnsi="Times New Roman" w:cs="Times New Roman"/>
          <w:sz w:val="28"/>
          <w:szCs w:val="28"/>
        </w:rPr>
        <w:t xml:space="preserve"> операторы почтовой связи обязаны пересылать почтовые отправления и осуществлять почтовые переводы в установленные сроки.</w:t>
      </w:r>
    </w:p>
    <w:p w:rsidR="00101B04" w:rsidRPr="00F53FFB" w:rsidRDefault="00101B04" w:rsidP="00F53F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Согласно абзацу 2 статьи 16 Федерального закона от 17.07.1999 № 176-ФЗ «О почтовой связи» операторы почтовой связи обязаны обеспечить пересылку письменной корреспонденции пользователям услуг почтовой связи в контрольные сроки. Нормативы частоты сбора письменной корреспонденции из почтовых ящиков, нормативы ее обмена, перевозки и доставки, а также контрольные срок ее пересылки утверждаются уполномоченным Правительством Российской Федерации федеральным органом исполнительной власти. Сроки оказания иных услуг почтовой связи устанавливаются операторами почтовой связи самостоятельно. </w:t>
      </w:r>
    </w:p>
    <w:p w:rsidR="00101B04" w:rsidRPr="00F53FFB" w:rsidRDefault="00101B04" w:rsidP="00F53F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Распоряжением от 08.05.2020 № 109-р АО «Почта России» утверждены контрольные сроки пересылки посылок.</w:t>
      </w:r>
    </w:p>
    <w:p w:rsidR="00101B04" w:rsidRPr="00F53FFB" w:rsidRDefault="00101B04" w:rsidP="00F53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По данному фату придя к выводу о незаконности бездействия Общества, выразившееся в повторном нарушении срока доставки посылки, усмотрев в данных действиях (бездействие) признаки состава административного правонарушения, предусмотренного частью 2 статьи 14.4 КоАП РФ, должностным лицом Управления составлен протокол об административном правонарушении. Постановлением по делу об административном правонарушен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ии</w:t>
      </w:r>
      <w:r w:rsidR="00BC705F" w:rsidRPr="00F53FFB">
        <w:rPr>
          <w:rFonts w:ascii="Times New Roman" w:hAnsi="Times New Roman" w:cs="Times New Roman"/>
          <w:sz w:val="28"/>
          <w:szCs w:val="28"/>
        </w:rPr>
        <w:t xml:space="preserve"> АО</w:t>
      </w:r>
      <w:proofErr w:type="gramEnd"/>
      <w:r w:rsidR="00BC705F" w:rsidRPr="00F53FFB">
        <w:rPr>
          <w:rFonts w:ascii="Times New Roman" w:hAnsi="Times New Roman" w:cs="Times New Roman"/>
          <w:sz w:val="28"/>
          <w:szCs w:val="28"/>
        </w:rPr>
        <w:t xml:space="preserve"> «Почта России» привлечено к административной ответственности по части 2 статьи 14.4 КоАП РФ с назначением наказания в виде административного штрафа.</w:t>
      </w:r>
    </w:p>
    <w:p w:rsidR="00BC705F" w:rsidRPr="00F53FFB" w:rsidRDefault="00BC705F" w:rsidP="00F53F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Общество, не согласившись с вынесенным постановлением по делу об административном правонарушении,  обратилось в  арбитражный суд с заявлением об его отмене.  </w:t>
      </w:r>
    </w:p>
    <w:p w:rsidR="00BC705F" w:rsidRPr="00F53FFB" w:rsidRDefault="00BC705F" w:rsidP="00F53F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Арбитражными судами первой, апелляционной, кассационной инстанции было отказано в удовлетворении заявленных требований Общества. </w:t>
      </w:r>
    </w:p>
    <w:p w:rsidR="00885DB4" w:rsidRPr="00F53FFB" w:rsidRDefault="00885DB4" w:rsidP="00F53FFB">
      <w:pPr>
        <w:pStyle w:val="a3"/>
        <w:numPr>
          <w:ilvl w:val="0"/>
          <w:numId w:val="4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bCs/>
          <w:sz w:val="28"/>
          <w:szCs w:val="28"/>
        </w:rPr>
        <w:t>В адрес Управления поступило о</w:t>
      </w:r>
      <w:r w:rsidRPr="00F53FFB">
        <w:rPr>
          <w:sz w:val="28"/>
          <w:szCs w:val="28"/>
        </w:rPr>
        <w:t xml:space="preserve">бращение потребителя с жалобой на включение в договор условий, ущемляющих права потребителя. </w:t>
      </w:r>
    </w:p>
    <w:p w:rsidR="00BC705F" w:rsidRPr="00F53FFB" w:rsidRDefault="00885DB4" w:rsidP="00F53FFB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FB">
        <w:rPr>
          <w:rFonts w:ascii="Times New Roman" w:hAnsi="Times New Roman" w:cs="Times New Roman"/>
          <w:sz w:val="28"/>
          <w:szCs w:val="28"/>
        </w:rPr>
        <w:t>По результатам изучения представленных потребителем документов Управлением установлено, что данным договором предусмотрен</w:t>
      </w:r>
      <w:r w:rsidR="00BC705F" w:rsidRPr="00F53FFB">
        <w:rPr>
          <w:rFonts w:ascii="Times New Roman" w:hAnsi="Times New Roman" w:cs="Times New Roman"/>
          <w:sz w:val="28"/>
          <w:szCs w:val="28"/>
        </w:rPr>
        <w:t>о</w:t>
      </w:r>
      <w:r w:rsidRPr="00F53FF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C705F" w:rsidRPr="00F53FFB">
        <w:rPr>
          <w:rFonts w:ascii="Times New Roman" w:hAnsi="Times New Roman" w:cs="Times New Roman"/>
          <w:sz w:val="28"/>
          <w:szCs w:val="28"/>
        </w:rPr>
        <w:t>е, ущемляюще</w:t>
      </w:r>
      <w:r w:rsidRPr="00F53FFB">
        <w:rPr>
          <w:rFonts w:ascii="Times New Roman" w:hAnsi="Times New Roman" w:cs="Times New Roman"/>
          <w:sz w:val="28"/>
          <w:szCs w:val="28"/>
        </w:rPr>
        <w:t xml:space="preserve">е права потребителя: </w:t>
      </w:r>
      <w:r w:rsidR="00BC705F" w:rsidRPr="00F53FFB">
        <w:rPr>
          <w:rFonts w:ascii="Times New Roman" w:hAnsi="Times New Roman" w:cs="Times New Roman"/>
          <w:sz w:val="28"/>
          <w:szCs w:val="28"/>
        </w:rPr>
        <w:t>с</w:t>
      </w:r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тороны подтверждают, что итоговая стоимость автомобиля, приобретаемая Покупателем, указана в п. 2.1. настоящего договора в размере 1 165 000 (Один миллион сто шестьдесят пять тысяч рублей 00 копеек)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руб. в том числе НДС 20% 194 166.67 (сто девяносто четыре тысячи  67 копеек) руб., указана</w:t>
      </w:r>
      <w:proofErr w:type="gramEnd"/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предоставленной Продавцом маркетинговой скидки в размере 45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900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00 (Сорок пять тысяч девятьсот рублей 00 копеек) руб., в том числе НДС 20% 7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650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00 (семь тысяч шестьсот пятьдесят рублей 00 копеек) руб. Маркетинговая скидка предоставляется при соблюдении Покупателем следующего</w:t>
      </w:r>
      <w:proofErr w:type="gramStart"/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gramEnd"/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их) условия (-</w:t>
      </w:r>
      <w:proofErr w:type="spellStart"/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="00BC705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) до передачи автомобиля Покупателю.</w:t>
      </w:r>
    </w:p>
    <w:p w:rsidR="00EA6D53" w:rsidRPr="00F53FFB" w:rsidRDefault="00EA6D53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Указанное условие договора нарушает п. 2 ст. 16  </w:t>
      </w:r>
      <w:r w:rsidRPr="00F53FFB">
        <w:rPr>
          <w:rFonts w:ascii="Times New Roman" w:hAnsi="Times New Roman" w:cs="Times New Roman"/>
          <w:sz w:val="28"/>
          <w:szCs w:val="28"/>
        </w:rPr>
        <w:t>Закона РФ от 07.02.1992 N 2300-1 "О защите прав потребителей", так как условие является обуславливающим приобретение транспортного средства обязательным приобретением дополнительных услуг, что запрещено действующим законодательством.</w:t>
      </w:r>
    </w:p>
    <w:p w:rsidR="00EA6D53" w:rsidRPr="00F53FFB" w:rsidRDefault="00EA6D53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Потребитель не имел намерения заключать договор с ООО «Все Эвакуаторы» при заключении договора купли</w:t>
      </w:r>
      <w:r w:rsidR="002539DF">
        <w:rPr>
          <w:rFonts w:ascii="Times New Roman" w:hAnsi="Times New Roman" w:cs="Times New Roman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- продажи с ЗАО «</w:t>
      </w:r>
      <w:proofErr w:type="spellStart"/>
      <w:r w:rsidRPr="00F53FFB">
        <w:rPr>
          <w:rFonts w:ascii="Times New Roman" w:hAnsi="Times New Roman" w:cs="Times New Roman"/>
          <w:sz w:val="28"/>
          <w:szCs w:val="28"/>
        </w:rPr>
        <w:t>ИнПРО</w:t>
      </w:r>
      <w:proofErr w:type="spellEnd"/>
      <w:r w:rsidRPr="00F53FFB">
        <w:rPr>
          <w:rFonts w:ascii="Times New Roman" w:hAnsi="Times New Roman" w:cs="Times New Roman"/>
          <w:sz w:val="28"/>
          <w:szCs w:val="28"/>
        </w:rPr>
        <w:t>», в услугах данной организации не нуждалась, что было подтверждено на рассмотрении дела об административном правонарушении.</w:t>
      </w:r>
    </w:p>
    <w:p w:rsidR="00885DB4" w:rsidRPr="00F53FFB" w:rsidRDefault="00885DB4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Выявленное нарушение явилось основанием для  привлечения Общества к  административной ответственности по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.2 ст.14.8 КоАП РФ.  </w:t>
      </w:r>
    </w:p>
    <w:p w:rsidR="00885DB4" w:rsidRPr="00F53FFB" w:rsidRDefault="00885DB4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Общество, не согласившись с вынесенным постановлением,  обратилось в  арбитражный суд с заявлением об его отмене.  </w:t>
      </w:r>
    </w:p>
    <w:p w:rsidR="00885DB4" w:rsidRPr="00F53FFB" w:rsidRDefault="00885DB4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Арбитражный суд отказал  в удовлетворении заявленных требований Общества, указав, что доводы заявителя отклоняются как основанные на ошибочном толковании норм права. </w:t>
      </w:r>
    </w:p>
    <w:p w:rsidR="00EA6D53" w:rsidRPr="00F53FFB" w:rsidRDefault="00885DB4" w:rsidP="00F53FFB">
      <w:pPr>
        <w:pStyle w:val="a3"/>
        <w:numPr>
          <w:ilvl w:val="0"/>
          <w:numId w:val="4"/>
        </w:numPr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53FFB">
        <w:rPr>
          <w:bCs/>
          <w:sz w:val="28"/>
          <w:szCs w:val="28"/>
        </w:rPr>
        <w:t xml:space="preserve">В Управление поступило обращение потребителя, в котором он указал, что  </w:t>
      </w:r>
      <w:r w:rsidR="00EA6D53" w:rsidRPr="00F53FFB">
        <w:rPr>
          <w:sz w:val="28"/>
          <w:szCs w:val="28"/>
        </w:rPr>
        <w:t>договор</w:t>
      </w:r>
      <w:r w:rsidR="00EA6D53" w:rsidRPr="00F53FFB">
        <w:rPr>
          <w:color w:val="000000" w:themeColor="text1"/>
          <w:sz w:val="28"/>
          <w:szCs w:val="28"/>
        </w:rPr>
        <w:t xml:space="preserve"> участия в долевом строительстве многоквартирного дома</w:t>
      </w:r>
      <w:r w:rsidR="008273D0" w:rsidRPr="00F53FFB">
        <w:rPr>
          <w:color w:val="000000" w:themeColor="text1"/>
          <w:sz w:val="28"/>
          <w:szCs w:val="28"/>
        </w:rPr>
        <w:t>, заключенный с</w:t>
      </w:r>
      <w:r w:rsidR="00EA6D53" w:rsidRPr="00F53FFB">
        <w:rPr>
          <w:sz w:val="28"/>
          <w:szCs w:val="28"/>
        </w:rPr>
        <w:t xml:space="preserve"> </w:t>
      </w:r>
      <w:r w:rsidR="008273D0" w:rsidRPr="00F53FFB">
        <w:rPr>
          <w:sz w:val="28"/>
          <w:szCs w:val="28"/>
        </w:rPr>
        <w:t>ООО СЗ «Старт</w:t>
      </w:r>
      <w:r w:rsidR="002539DF">
        <w:rPr>
          <w:sz w:val="28"/>
          <w:szCs w:val="28"/>
        </w:rPr>
        <w:t xml:space="preserve"> </w:t>
      </w:r>
      <w:r w:rsidR="008273D0" w:rsidRPr="00F53FFB">
        <w:rPr>
          <w:sz w:val="28"/>
          <w:szCs w:val="28"/>
        </w:rPr>
        <w:t>- Строй»,</w:t>
      </w:r>
      <w:r w:rsidR="00EA6D53" w:rsidRPr="00F53FFB">
        <w:rPr>
          <w:sz w:val="28"/>
          <w:szCs w:val="28"/>
        </w:rPr>
        <w:t xml:space="preserve"> включены условия, ущемляющие права потребителя.</w:t>
      </w:r>
    </w:p>
    <w:p w:rsidR="008273D0" w:rsidRPr="00F53FFB" w:rsidRDefault="008273D0" w:rsidP="00F53FFB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FFB">
        <w:rPr>
          <w:rFonts w:ascii="Times New Roman" w:hAnsi="Times New Roman" w:cs="Times New Roman"/>
          <w:bCs/>
          <w:sz w:val="28"/>
          <w:szCs w:val="28"/>
        </w:rPr>
        <w:t>Указанный</w:t>
      </w:r>
      <w:r w:rsidR="00EA6D53" w:rsidRPr="00F53FFB">
        <w:rPr>
          <w:rFonts w:ascii="Times New Roman" w:hAnsi="Times New Roman" w:cs="Times New Roman"/>
          <w:bCs/>
          <w:sz w:val="28"/>
          <w:szCs w:val="28"/>
        </w:rPr>
        <w:t xml:space="preserve"> договор содерж</w:t>
      </w:r>
      <w:r w:rsidRPr="00F53FFB">
        <w:rPr>
          <w:rFonts w:ascii="Times New Roman" w:hAnsi="Times New Roman" w:cs="Times New Roman"/>
          <w:bCs/>
          <w:sz w:val="28"/>
          <w:szCs w:val="28"/>
        </w:rPr>
        <w:t>ит следующие условия, ущемляющие права потребителя: д</w:t>
      </w: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ольщики обязуются уплатить обусловленную Договором цену в указанный срок и принять объект долевого строительства по акту приема - передачи; дольщик обязуется приступить к принятию объекта долевого строительства в течени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(семи) рабочих дней с момента получения уведомления от застройщика о готовности </w:t>
      </w:r>
      <w:proofErr w:type="gramStart"/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передачи и принять объект долевого строительства (подписать акт приема</w:t>
      </w:r>
      <w:r w:rsidR="0025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передачи) в срок, определенный в п. 2.2 настоящего договора (в течение 90 </w:t>
      </w:r>
      <w:r w:rsidR="002539DF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дней); гарантийный срок для объекта долевого строительства, за исключением технологического и инженерного оборудования, входящего в состав Объекта долевого строительства, составляет 5 (пять) лет и 3 (три) месяца </w:t>
      </w:r>
      <w:proofErr w:type="gramStart"/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>с даты ввода</w:t>
      </w:r>
      <w:proofErr w:type="gramEnd"/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многоквартирного дома в эксплуатацию.</w:t>
      </w:r>
    </w:p>
    <w:p w:rsidR="008273D0" w:rsidRPr="00F53FFB" w:rsidRDefault="002539DF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273D0"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анные пункты договора противоречит положениям ч. 4 ст. 8 </w:t>
      </w:r>
      <w:r w:rsidR="008273D0" w:rsidRPr="00F53FFB">
        <w:rPr>
          <w:rFonts w:ascii="Times New Roman" w:hAnsi="Times New Roman" w:cs="Times New Roman"/>
          <w:sz w:val="28"/>
          <w:szCs w:val="28"/>
        </w:rPr>
        <w:t>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3D0" w:rsidRPr="00F53FFB">
        <w:rPr>
          <w:rFonts w:ascii="Times New Roman" w:hAnsi="Times New Roman" w:cs="Times New Roman"/>
          <w:sz w:val="28"/>
          <w:szCs w:val="28"/>
        </w:rPr>
        <w:t>- Федеральный закон от 30.12.2004 N 214-ФЗ), а именно условие Договора об обязанности участников долевого строительства принять объект долевого строительства (подписать акт приема-передачи) в</w:t>
      </w:r>
      <w:proofErr w:type="gramEnd"/>
      <w:r w:rsidR="008273D0" w:rsidRPr="00F53FFB">
        <w:rPr>
          <w:rFonts w:ascii="Times New Roman" w:hAnsi="Times New Roman" w:cs="Times New Roman"/>
          <w:sz w:val="28"/>
          <w:szCs w:val="28"/>
        </w:rPr>
        <w:t xml:space="preserve"> срок, определенный договором является условием, ущемляющим права потребителей. </w:t>
      </w:r>
    </w:p>
    <w:p w:rsidR="008273D0" w:rsidRPr="00F53FFB" w:rsidRDefault="008273D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FB">
        <w:rPr>
          <w:rFonts w:ascii="Times New Roman" w:hAnsi="Times New Roman" w:cs="Times New Roman"/>
          <w:sz w:val="28"/>
          <w:szCs w:val="28"/>
        </w:rPr>
        <w:t xml:space="preserve">Более того, положениями </w:t>
      </w:r>
      <w:hyperlink r:id="rId13" w:history="1">
        <w:r w:rsidRPr="002539DF">
          <w:rPr>
            <w:rFonts w:ascii="Times New Roman" w:hAnsi="Times New Roman" w:cs="Times New Roman"/>
            <w:sz w:val="28"/>
            <w:szCs w:val="28"/>
          </w:rPr>
          <w:t>части 5 статьи 8</w:t>
        </w:r>
      </w:hyperlink>
      <w:r w:rsidRPr="00F53FFB">
        <w:rPr>
          <w:rFonts w:ascii="Times New Roman" w:hAnsi="Times New Roman" w:cs="Times New Roman"/>
          <w:sz w:val="28"/>
          <w:szCs w:val="28"/>
        </w:rPr>
        <w:t xml:space="preserve"> названного закона предусмотрено право участника долевого строительства до подписания </w:t>
      </w:r>
      <w:r w:rsidRPr="00F53FFB">
        <w:rPr>
          <w:rFonts w:ascii="Times New Roman" w:hAnsi="Times New Roman" w:cs="Times New Roman"/>
          <w:sz w:val="28"/>
          <w:szCs w:val="28"/>
        </w:rPr>
        <w:lastRenderedPageBreak/>
        <w:t xml:space="preserve">передаточного акта или иного документа о передаче объекта долевого строительства потребовать от застройщика составления акта, в котором указывается несоответствие объекта долевого строительства требованиям, предусмотренным </w:t>
      </w:r>
      <w:hyperlink r:id="rId14" w:history="1">
        <w:r w:rsidRPr="002539DF">
          <w:rPr>
            <w:rFonts w:ascii="Times New Roman" w:hAnsi="Times New Roman" w:cs="Times New Roman"/>
            <w:sz w:val="28"/>
            <w:szCs w:val="28"/>
          </w:rPr>
          <w:t>частью 1 статьи 7</w:t>
        </w:r>
      </w:hyperlink>
      <w:r w:rsidRPr="00F53FFB">
        <w:rPr>
          <w:rFonts w:ascii="Times New Roman" w:hAnsi="Times New Roman" w:cs="Times New Roman"/>
          <w:sz w:val="28"/>
          <w:szCs w:val="28"/>
        </w:rPr>
        <w:t xml:space="preserve"> данного федерального закона, </w:t>
      </w:r>
      <w:r w:rsidRPr="00F53FFB">
        <w:rPr>
          <w:rFonts w:ascii="Times New Roman" w:hAnsi="Times New Roman" w:cs="Times New Roman"/>
          <w:sz w:val="28"/>
          <w:szCs w:val="28"/>
          <w:u w:val="single"/>
        </w:rPr>
        <w:t>и отказаться от подписания передаточного акта или иного документа о передаче объекта долевого</w:t>
      </w:r>
      <w:proofErr w:type="gramEnd"/>
      <w:r w:rsidRPr="00F53FFB">
        <w:rPr>
          <w:rFonts w:ascii="Times New Roman" w:hAnsi="Times New Roman" w:cs="Times New Roman"/>
          <w:sz w:val="28"/>
          <w:szCs w:val="28"/>
          <w:u w:val="single"/>
        </w:rPr>
        <w:t xml:space="preserve"> строительства</w:t>
      </w:r>
      <w:r w:rsidRPr="00F53FFB">
        <w:rPr>
          <w:rFonts w:ascii="Times New Roman" w:hAnsi="Times New Roman" w:cs="Times New Roman"/>
          <w:sz w:val="28"/>
          <w:szCs w:val="28"/>
        </w:rPr>
        <w:t xml:space="preserve"> до исполнения застройщиком обязанностей, предусмотренных </w:t>
      </w:r>
      <w:hyperlink r:id="rId15" w:history="1">
        <w:r w:rsidRPr="002539DF">
          <w:rPr>
            <w:rFonts w:ascii="Times New Roman" w:hAnsi="Times New Roman" w:cs="Times New Roman"/>
            <w:sz w:val="28"/>
            <w:szCs w:val="28"/>
          </w:rPr>
          <w:t>частью 2 статьи 7</w:t>
        </w:r>
      </w:hyperlink>
      <w:r w:rsidRPr="00F53FFB">
        <w:rPr>
          <w:rFonts w:ascii="Times New Roman" w:hAnsi="Times New Roman" w:cs="Times New Roman"/>
          <w:sz w:val="28"/>
          <w:szCs w:val="28"/>
        </w:rPr>
        <w:t xml:space="preserve"> этого закона.</w:t>
      </w:r>
    </w:p>
    <w:p w:rsidR="008273D0" w:rsidRPr="00F53FFB" w:rsidRDefault="008273D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Из указанного следует, что в случае нарушения со стороны застройщика требований к качеству объекта долевого строительства участник долевого строительства вправе отказаться от подписания документа о его передаче, а также потребовать от застройщика составления акта, фиксирующего дефекты и недостатки в объекте долевого строительства.</w:t>
      </w:r>
    </w:p>
    <w:p w:rsidR="008273D0" w:rsidRPr="00F53FFB" w:rsidRDefault="008273D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 w:history="1">
        <w:r w:rsidRPr="008563E4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8563E4">
        <w:rPr>
          <w:rFonts w:ascii="Times New Roman" w:hAnsi="Times New Roman" w:cs="Times New Roman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Федерального закона от 30.12.2004 N 214-ФЗ</w:t>
      </w: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 xml:space="preserve"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устанавливается договором и не может составлять менее чем пять лет. Указанный </w:t>
      </w:r>
      <w:r w:rsidRPr="00F53FFB">
        <w:rPr>
          <w:rFonts w:ascii="Times New Roman" w:hAnsi="Times New Roman" w:cs="Times New Roman"/>
          <w:sz w:val="28"/>
          <w:szCs w:val="28"/>
          <w:u w:val="single"/>
        </w:rPr>
        <w:t>гарантийный срок исчисляется со дня передачи объекта долевого строительства</w:t>
      </w:r>
      <w:r w:rsidRPr="00F53FFB">
        <w:rPr>
          <w:rFonts w:ascii="Times New Roman" w:hAnsi="Times New Roman" w:cs="Times New Roman"/>
          <w:sz w:val="28"/>
          <w:szCs w:val="28"/>
        </w:rPr>
        <w:t>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строительства, если иное не предусмотрено договором.</w:t>
      </w:r>
    </w:p>
    <w:p w:rsidR="008273D0" w:rsidRPr="00F53FFB" w:rsidRDefault="008273D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53FFB">
        <w:rPr>
          <w:rFonts w:ascii="Times New Roman" w:hAnsi="Times New Roman" w:cs="Times New Roman"/>
          <w:sz w:val="28"/>
          <w:szCs w:val="28"/>
        </w:rPr>
        <w:t>Так, условие Договора об исчислении гарантийного срока с даты ввода многоквартирного дома в эксплуатацию</w:t>
      </w:r>
      <w:r w:rsidRPr="00F5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FFB">
        <w:rPr>
          <w:rFonts w:ascii="Times New Roman" w:hAnsi="Times New Roman" w:cs="Times New Roman"/>
          <w:sz w:val="28"/>
          <w:szCs w:val="28"/>
        </w:rPr>
        <w:t>фактически уменьшает гарантийный срок, в течение которого потребитель имеет право предъявлять застройщику требования в связи с ненадлежащим качеством объекта долевого строительства, а именно на период со дня ввода объекта долевого строительства в эксплуатацию до дня передачи объекта долевого строительства участнику долевого строительства.</w:t>
      </w:r>
      <w:proofErr w:type="gramEnd"/>
    </w:p>
    <w:p w:rsidR="008273D0" w:rsidRPr="00F53FFB" w:rsidRDefault="008273D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>Таким образом, указанное условие договора ограничивает прав</w:t>
      </w:r>
      <w:r w:rsidR="008563E4">
        <w:rPr>
          <w:rFonts w:ascii="Times New Roman" w:hAnsi="Times New Roman" w:cs="Times New Roman"/>
          <w:sz w:val="28"/>
          <w:szCs w:val="28"/>
        </w:rPr>
        <w:t>а</w:t>
      </w:r>
      <w:r w:rsidRPr="00F53FFB">
        <w:rPr>
          <w:rFonts w:ascii="Times New Roman" w:hAnsi="Times New Roman" w:cs="Times New Roman"/>
          <w:sz w:val="28"/>
          <w:szCs w:val="28"/>
        </w:rPr>
        <w:t xml:space="preserve"> потребителя, гарантированные ему Федеральн</w:t>
      </w:r>
      <w:r w:rsidR="008563E4">
        <w:rPr>
          <w:rFonts w:ascii="Times New Roman" w:hAnsi="Times New Roman" w:cs="Times New Roman"/>
          <w:sz w:val="28"/>
          <w:szCs w:val="28"/>
        </w:rPr>
        <w:t>ым</w:t>
      </w:r>
      <w:r w:rsidRPr="00F53F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563E4">
        <w:rPr>
          <w:rFonts w:ascii="Times New Roman" w:hAnsi="Times New Roman" w:cs="Times New Roman"/>
          <w:sz w:val="28"/>
          <w:szCs w:val="28"/>
        </w:rPr>
        <w:t>ом</w:t>
      </w:r>
      <w:r w:rsidRPr="00F53FFB">
        <w:rPr>
          <w:rFonts w:ascii="Times New Roman" w:hAnsi="Times New Roman" w:cs="Times New Roman"/>
          <w:sz w:val="28"/>
          <w:szCs w:val="28"/>
        </w:rPr>
        <w:t xml:space="preserve"> от 30.12.2004 N </w:t>
      </w:r>
      <w:r w:rsidRPr="00F53FFB">
        <w:rPr>
          <w:rFonts w:ascii="Times New Roman" w:hAnsi="Times New Roman" w:cs="Times New Roman"/>
          <w:sz w:val="28"/>
          <w:szCs w:val="28"/>
        </w:rPr>
        <w:lastRenderedPageBreak/>
        <w:t xml:space="preserve">214-ФЗ, а, соответственно, ущемляют </w:t>
      </w:r>
      <w:r w:rsidR="008563E4">
        <w:rPr>
          <w:rFonts w:ascii="Times New Roman" w:hAnsi="Times New Roman" w:cs="Times New Roman"/>
          <w:sz w:val="28"/>
          <w:szCs w:val="28"/>
        </w:rPr>
        <w:t xml:space="preserve">его </w:t>
      </w:r>
      <w:r w:rsidRPr="00F53FFB">
        <w:rPr>
          <w:rFonts w:ascii="Times New Roman" w:hAnsi="Times New Roman" w:cs="Times New Roman"/>
          <w:sz w:val="28"/>
          <w:szCs w:val="28"/>
        </w:rPr>
        <w:t>права</w:t>
      </w:r>
      <w:r w:rsidR="008563E4">
        <w:rPr>
          <w:rFonts w:ascii="Times New Roman" w:hAnsi="Times New Roman" w:cs="Times New Roman"/>
          <w:sz w:val="28"/>
          <w:szCs w:val="28"/>
        </w:rPr>
        <w:t xml:space="preserve"> как</w:t>
      </w:r>
      <w:r w:rsidRPr="00F53FFB">
        <w:rPr>
          <w:rFonts w:ascii="Times New Roman" w:hAnsi="Times New Roman" w:cs="Times New Roman"/>
          <w:sz w:val="28"/>
          <w:szCs w:val="28"/>
        </w:rPr>
        <w:t xml:space="preserve"> участника долевого строительства.</w:t>
      </w:r>
    </w:p>
    <w:p w:rsidR="008273D0" w:rsidRPr="00F53FFB" w:rsidRDefault="008273D0" w:rsidP="00F53F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Выявленное нарушение явилось основанием для  привлечения юридического лица к  административной ответственности по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.2 ст.14.8 КоАП РФ.  </w:t>
      </w:r>
    </w:p>
    <w:p w:rsidR="008273D0" w:rsidRPr="00F53FFB" w:rsidRDefault="008273D0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Общество, не согласившись с вынесенным постановлением,  обратилось в  арбитражный суд с заявлением об его отмене.  </w:t>
      </w:r>
    </w:p>
    <w:p w:rsidR="008273D0" w:rsidRPr="00F53FFB" w:rsidRDefault="008273D0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Арбитражный суд отказал  в удовлетворении заявленных требований Общества, указав, что доводы заявителя отклоняются как основанные на ошибочном толковании норм права. </w:t>
      </w:r>
    </w:p>
    <w:p w:rsidR="00FE05BE" w:rsidRPr="00F53FFB" w:rsidRDefault="00FE05BE" w:rsidP="00F53FFB">
      <w:pPr>
        <w:pStyle w:val="a3"/>
        <w:numPr>
          <w:ilvl w:val="0"/>
          <w:numId w:val="4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3FFB">
        <w:rPr>
          <w:sz w:val="28"/>
          <w:szCs w:val="28"/>
        </w:rPr>
        <w:t>В Управление Роспотребнадзора поступило обращение гражданина (далее – потребитель) о нарушении его прав, возникшем в результате оказания услуг оператором связи «Теле 2» (ООО «Т</w:t>
      </w:r>
      <w:proofErr w:type="gramStart"/>
      <w:r w:rsidRPr="00F53FFB">
        <w:rPr>
          <w:sz w:val="28"/>
          <w:szCs w:val="28"/>
        </w:rPr>
        <w:t>2</w:t>
      </w:r>
      <w:proofErr w:type="gramEnd"/>
      <w:r w:rsidRPr="00F53FFB">
        <w:rPr>
          <w:sz w:val="28"/>
          <w:szCs w:val="28"/>
        </w:rPr>
        <w:t xml:space="preserve"> </w:t>
      </w:r>
      <w:proofErr w:type="spellStart"/>
      <w:r w:rsidRPr="00F53FFB">
        <w:rPr>
          <w:sz w:val="28"/>
          <w:szCs w:val="28"/>
        </w:rPr>
        <w:t>Мобайл</w:t>
      </w:r>
      <w:proofErr w:type="spellEnd"/>
      <w:r w:rsidRPr="00F53FFB">
        <w:rPr>
          <w:sz w:val="28"/>
          <w:szCs w:val="28"/>
        </w:rPr>
        <w:t xml:space="preserve">»). В частности, потребителем указано о включении в его тарифный план дополнительной услуги «Доступ к </w:t>
      </w:r>
      <w:proofErr w:type="spellStart"/>
      <w:r w:rsidRPr="00F53FFB">
        <w:rPr>
          <w:sz w:val="28"/>
          <w:szCs w:val="28"/>
        </w:rPr>
        <w:t>контенту</w:t>
      </w:r>
      <w:proofErr w:type="spellEnd"/>
      <w:r w:rsidRPr="00F53FFB">
        <w:rPr>
          <w:sz w:val="28"/>
          <w:szCs w:val="28"/>
        </w:rPr>
        <w:t xml:space="preserve">».  При этом описание условий и порядка предоставления данной услуги отсутствует на официальном сайте. </w:t>
      </w:r>
    </w:p>
    <w:p w:rsidR="00FE05BE" w:rsidRPr="00F53FFB" w:rsidRDefault="00FE05BE" w:rsidP="00F53FF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Потребителем в адрес Общества была направлена письменная претензия с требованием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F53FFB">
        <w:rPr>
          <w:rFonts w:ascii="Times New Roman" w:hAnsi="Times New Roman" w:cs="Times New Roman"/>
          <w:sz w:val="28"/>
          <w:szCs w:val="28"/>
        </w:rPr>
        <w:t xml:space="preserve"> полную информацию о подключенной услуге «Доступ к </w:t>
      </w:r>
      <w:proofErr w:type="spellStart"/>
      <w:r w:rsidRPr="00F53FFB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F53FFB">
        <w:rPr>
          <w:rFonts w:ascii="Times New Roman" w:hAnsi="Times New Roman" w:cs="Times New Roman"/>
          <w:sz w:val="28"/>
          <w:szCs w:val="28"/>
        </w:rPr>
        <w:t xml:space="preserve">», а также отключить данную услугу, поскольку опция по ее отключению на сайте также отсутствует. Как следует из ответа </w:t>
      </w:r>
      <w:proofErr w:type="spellStart"/>
      <w:r w:rsidRPr="00F53FFB">
        <w:rPr>
          <w:rFonts w:ascii="Times New Roman" w:hAnsi="Times New Roman" w:cs="Times New Roman"/>
          <w:sz w:val="28"/>
          <w:szCs w:val="28"/>
        </w:rPr>
        <w:t>онлайн-консультанта</w:t>
      </w:r>
      <w:proofErr w:type="spellEnd"/>
      <w:r w:rsidRPr="00F53FFB">
        <w:rPr>
          <w:rFonts w:ascii="Times New Roman" w:hAnsi="Times New Roman" w:cs="Times New Roman"/>
          <w:sz w:val="28"/>
          <w:szCs w:val="28"/>
        </w:rPr>
        <w:t xml:space="preserve"> оператора связи, данную услугу отключить нельзя. </w:t>
      </w:r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Исходя из обращения потребителя и прилагаемых документов, </w:t>
      </w:r>
      <w:r w:rsidR="008563E4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 сделан вывод о признаках нарушения прав потребителя в результате действий оператора связи. </w:t>
      </w:r>
      <w:r w:rsidRPr="00F53FFB">
        <w:rPr>
          <w:rFonts w:ascii="Times New Roman" w:hAnsi="Times New Roman" w:cs="Times New Roman"/>
          <w:sz w:val="28"/>
          <w:szCs w:val="28"/>
        </w:rPr>
        <w:t xml:space="preserve">Управлением были оценены обращение и представленные потребителем материалы, указывающие на наличие </w:t>
      </w:r>
      <w:r w:rsidRPr="00F53FFB">
        <w:rPr>
          <w:rFonts w:ascii="Times New Roman" w:eastAsia="Calibri" w:hAnsi="Times New Roman" w:cs="Times New Roman"/>
          <w:sz w:val="28"/>
          <w:szCs w:val="28"/>
        </w:rPr>
        <w:t>сведений об угрозе причинения вреда (ущерба) охраняемым законом ценностям. Указанные сведения в порядке, предусмотренном п.1 ст.60 Федерального закона от 31.07.2020 № 248-ФЗ "О государственном контроле (надзоре) и муниципальном контроле в Российской Федерации" (далее – Федеральный закон №</w:t>
      </w:r>
      <w:r w:rsidR="00856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248-ФЗ), были изложены в представлении о </w:t>
      </w:r>
      <w:r w:rsidRPr="00F53FFB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проведении контрольного (надзорного) мероприятия от 26.10.2021г. №</w:t>
      </w:r>
      <w:r w:rsidR="00856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3FFB">
        <w:rPr>
          <w:rFonts w:ascii="Times New Roman" w:eastAsia="Calibri" w:hAnsi="Times New Roman" w:cs="Times New Roman"/>
          <w:sz w:val="28"/>
          <w:szCs w:val="28"/>
        </w:rPr>
        <w:t>2021-52-00-10-3376.</w:t>
      </w:r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FB">
        <w:rPr>
          <w:rFonts w:ascii="Times New Roman" w:eastAsia="Calibri" w:hAnsi="Times New Roman" w:cs="Times New Roman"/>
          <w:sz w:val="28"/>
          <w:szCs w:val="28"/>
        </w:rPr>
        <w:t>Контрольные (надзорные) мероприятия были проведены Управлением Роспотребнадзора на основании решения о проведении внеплановой документарной проверки, принятого в силу п.1 ч.1 ст.57 Федерального закона №248-ФЗ.</w:t>
      </w:r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F53FFB">
          <w:rPr>
            <w:rFonts w:ascii="Times New Roman" w:eastAsia="Calibri" w:hAnsi="Times New Roman" w:cs="Times New Roman"/>
            <w:sz w:val="28"/>
            <w:szCs w:val="28"/>
          </w:rPr>
          <w:t>пунктом 1 статьи 10</w:t>
        </w:r>
      </w:hyperlink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 Закона РФ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15 Правил оказания </w:t>
      </w:r>
      <w:proofErr w:type="spellStart"/>
      <w:r w:rsidRPr="00F53FFB">
        <w:rPr>
          <w:rFonts w:ascii="Times New Roman" w:eastAsia="Calibri" w:hAnsi="Times New Roman" w:cs="Times New Roman"/>
          <w:sz w:val="28"/>
          <w:szCs w:val="28"/>
        </w:rPr>
        <w:t>телематических</w:t>
      </w:r>
      <w:proofErr w:type="spellEnd"/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 услуг связи», утвержденных Постановлением Правительства РФ от 10.09.2007 №575, оператор связи обязан по требованию абонента предоставить абоненту помимо информации, предусмотренной пунктом 14 настоящих Правил, дополнительную информацию об оказании услуг связи.</w:t>
      </w:r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53FFB">
        <w:rPr>
          <w:rFonts w:ascii="Times New Roman" w:hAnsi="Times New Roman" w:cs="Times New Roman"/>
          <w:sz w:val="28"/>
          <w:szCs w:val="28"/>
        </w:rPr>
        <w:t xml:space="preserve">В ходе проведения проверки по итогам рассмотрения информации, размещенной на сайте оператора связи, и представленных Обществом пояснений Управлением установлено, что оператором связи при исполнении заключенного договора до потребителя не доведена в полном объеме информация об услуге «Доступ к </w:t>
      </w:r>
      <w:proofErr w:type="spellStart"/>
      <w:r w:rsidRPr="00F53FFB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F53FFB">
        <w:rPr>
          <w:rFonts w:ascii="Times New Roman" w:hAnsi="Times New Roman" w:cs="Times New Roman"/>
          <w:sz w:val="28"/>
          <w:szCs w:val="28"/>
        </w:rPr>
        <w:t>», в том числе,</w:t>
      </w:r>
      <w:r w:rsidRPr="00F53FFB">
        <w:rPr>
          <w:rFonts w:ascii="Times New Roman" w:hAnsi="Times New Roman" w:cs="Times New Roman"/>
          <w:spacing w:val="20"/>
          <w:sz w:val="28"/>
          <w:szCs w:val="28"/>
        </w:rPr>
        <w:t xml:space="preserve"> об условиях и порядке оказания такой услуги</w:t>
      </w:r>
      <w:r w:rsidRPr="00F53FFB">
        <w:rPr>
          <w:rFonts w:ascii="Times New Roman" w:hAnsi="Times New Roman" w:cs="Times New Roman"/>
          <w:sz w:val="28"/>
          <w:szCs w:val="28"/>
        </w:rPr>
        <w:t>, а также о возможности ее отключения.</w:t>
      </w:r>
      <w:proofErr w:type="gramEnd"/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Указанное выше является нарушением установленных требований </w:t>
      </w:r>
      <w:r w:rsidRPr="00F53FFB">
        <w:rPr>
          <w:rFonts w:ascii="Times New Roman" w:eastAsia="Calibri" w:hAnsi="Times New Roman" w:cs="Times New Roman"/>
          <w:sz w:val="28"/>
          <w:szCs w:val="28"/>
        </w:rPr>
        <w:t>Закона РФ от 07.02.1992 № 2300-1 "О защите прав потребителей"</w:t>
      </w:r>
      <w:r w:rsidRPr="00F53FF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«Правил оказания </w:t>
      </w:r>
      <w:proofErr w:type="spellStart"/>
      <w:r w:rsidRPr="00F53FFB">
        <w:rPr>
          <w:rFonts w:ascii="Times New Roman" w:eastAsia="Calibri" w:hAnsi="Times New Roman" w:cs="Times New Roman"/>
          <w:sz w:val="28"/>
          <w:szCs w:val="28"/>
        </w:rPr>
        <w:t>телематических</w:t>
      </w:r>
      <w:proofErr w:type="spellEnd"/>
      <w:r w:rsidRPr="00F53FFB">
        <w:rPr>
          <w:rFonts w:ascii="Times New Roman" w:eastAsia="Calibri" w:hAnsi="Times New Roman" w:cs="Times New Roman"/>
          <w:sz w:val="28"/>
          <w:szCs w:val="28"/>
        </w:rPr>
        <w:t xml:space="preserve"> услуг связи», утвержденных Постановлением Правительства РФ от 10.09.2007 №575</w:t>
      </w:r>
      <w:r w:rsidRPr="00F53FFB">
        <w:rPr>
          <w:rFonts w:ascii="Times New Roman" w:hAnsi="Times New Roman" w:cs="Times New Roman"/>
          <w:sz w:val="28"/>
          <w:szCs w:val="28"/>
        </w:rPr>
        <w:t>, в связи с чем</w:t>
      </w:r>
      <w:r w:rsidR="008563E4">
        <w:rPr>
          <w:rFonts w:ascii="Times New Roman" w:hAnsi="Times New Roman" w:cs="Times New Roman"/>
          <w:sz w:val="28"/>
          <w:szCs w:val="28"/>
        </w:rPr>
        <w:t>,</w:t>
      </w:r>
      <w:r w:rsidRPr="00F53FFB">
        <w:rPr>
          <w:rFonts w:ascii="Times New Roman" w:hAnsi="Times New Roman" w:cs="Times New Roman"/>
          <w:sz w:val="28"/>
          <w:szCs w:val="28"/>
        </w:rPr>
        <w:t xml:space="preserve"> должностным лицом Управления возбуждено административное дела по ч. 1 ст. 14.5 КоАП РФ.</w:t>
      </w:r>
    </w:p>
    <w:p w:rsidR="00FE05BE" w:rsidRPr="00F53FFB" w:rsidRDefault="00FE05BE" w:rsidP="00F53F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результатам рассмотрения  Общество с ограниченной ответственностью «Т2 </w:t>
      </w:r>
      <w:proofErr w:type="spellStart"/>
      <w:r w:rsidRPr="00F53FFB">
        <w:rPr>
          <w:rFonts w:ascii="Times New Roman" w:hAnsi="Times New Roman" w:cs="Times New Roman"/>
          <w:bCs/>
          <w:sz w:val="28"/>
          <w:szCs w:val="28"/>
        </w:rPr>
        <w:t>Мобайл</w:t>
      </w:r>
      <w:proofErr w:type="spellEnd"/>
      <w:r w:rsidRPr="00F53FFB">
        <w:rPr>
          <w:rFonts w:ascii="Times New Roman" w:hAnsi="Times New Roman" w:cs="Times New Roman"/>
          <w:bCs/>
          <w:sz w:val="28"/>
          <w:szCs w:val="28"/>
        </w:rPr>
        <w:t>» привлечено к административной ответственности по ч.1 ст.14.5 КоАП РФ в виде штрафа.</w:t>
      </w:r>
    </w:p>
    <w:p w:rsidR="00FE05BE" w:rsidRPr="00F53FFB" w:rsidRDefault="00FE05BE" w:rsidP="00F53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Общество, не согласившись с вынесенным постановлением,  обратилось в  арбитражный суд с заявлением об его отмене.  </w:t>
      </w:r>
    </w:p>
    <w:p w:rsidR="00055602" w:rsidRDefault="00FE05BE" w:rsidP="004C518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3FFB">
        <w:rPr>
          <w:rFonts w:ascii="Times New Roman" w:hAnsi="Times New Roman" w:cs="Times New Roman"/>
          <w:sz w:val="28"/>
          <w:szCs w:val="28"/>
        </w:rPr>
        <w:t xml:space="preserve">Арбитражный суд отказал  в удовлетворении заявленных требований Общества, указав, что доводы заявителя отклоняются как основанные на ошибочном толковании норм права. </w:t>
      </w:r>
      <w:r w:rsidR="00055602">
        <w:rPr>
          <w:rFonts w:ascii="Times New Roman" w:hAnsi="Times New Roman" w:cs="Times New Roman"/>
          <w:sz w:val="28"/>
          <w:szCs w:val="28"/>
        </w:rPr>
        <w:br w:type="page"/>
      </w:r>
    </w:p>
    <w:p w:rsidR="00055602" w:rsidRPr="004C518C" w:rsidRDefault="00055602" w:rsidP="004C518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18C">
        <w:rPr>
          <w:rFonts w:ascii="Times New Roman" w:hAnsi="Times New Roman" w:cs="Times New Roman"/>
          <w:b/>
          <w:sz w:val="32"/>
          <w:szCs w:val="32"/>
        </w:rPr>
        <w:lastRenderedPageBreak/>
        <w:t>Наиболее распространенные нарушения (как делать нельзя) и разъяснение, какое поведение является правомерным</w:t>
      </w:r>
    </w:p>
    <w:p w:rsidR="00055602" w:rsidRPr="00043341" w:rsidRDefault="00055602" w:rsidP="000433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hAnsi="Times New Roman" w:cs="Times New Roman"/>
          <w:sz w:val="28"/>
          <w:szCs w:val="28"/>
        </w:rPr>
        <w:t>Наиболее часто выявляемыми нарушениями требований санитарного законодательства при проведении контрольно-надзорных мероприятий по разделу надзора по коммунальной гигиены являются:</w:t>
      </w:r>
      <w:proofErr w:type="gramEnd"/>
    </w:p>
    <w:p w:rsidR="00055602" w:rsidRPr="00043341" w:rsidRDefault="00055602" w:rsidP="000433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-  несоответствие качества питьевой и (или) горячей воды требованиям гигиенических </w:t>
      </w:r>
      <w:proofErr w:type="spellStart"/>
      <w:proofErr w:type="gramStart"/>
      <w:r w:rsidR="004C518C" w:rsidRPr="00043341">
        <w:rPr>
          <w:rFonts w:ascii="Times New Roman" w:hAnsi="Times New Roman" w:cs="Times New Roman"/>
          <w:sz w:val="28"/>
          <w:szCs w:val="28"/>
        </w:rPr>
        <w:t>гигиенических</w:t>
      </w:r>
      <w:proofErr w:type="spellEnd"/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нормативов по санитарно-химическим показателям и температуре горячей воды, а та</w:t>
      </w:r>
      <w:r w:rsidR="004C518C">
        <w:rPr>
          <w:rFonts w:ascii="Times New Roman" w:hAnsi="Times New Roman" w:cs="Times New Roman"/>
          <w:sz w:val="28"/>
          <w:szCs w:val="28"/>
        </w:rPr>
        <w:t>к</w:t>
      </w:r>
      <w:r w:rsidRPr="00043341">
        <w:rPr>
          <w:rFonts w:ascii="Times New Roman" w:hAnsi="Times New Roman" w:cs="Times New Roman"/>
          <w:sz w:val="28"/>
          <w:szCs w:val="28"/>
        </w:rPr>
        <w:t>же не</w:t>
      </w:r>
      <w:r w:rsidR="004C518C">
        <w:rPr>
          <w:rFonts w:ascii="Times New Roman" w:hAnsi="Times New Roman" w:cs="Times New Roman"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sz w:val="28"/>
          <w:szCs w:val="28"/>
        </w:rPr>
        <w:t xml:space="preserve">проведение производственного лабораторного контроля качества подаваемой питьевой и (или) горячей воды в объеме и с кратностью, регламентированной требованиями санитарного законодательства. Юридические лица, осуществляющие холодное и горячее водоснабжение в соответствии с частью  1 статьи 23  и части 1 статьи 24 Федерального закона №416-ФЗ от 07.12.2011 г. «О водоснабжении и водоотведении» обязаны подавать абонентам питьевую  и горячую воду, соответствующую установленным требованиям.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В силу п.75 раздел IV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качество и безопасность питьевой и горячей воды должны соответствовать </w:t>
      </w:r>
      <w:hyperlink r:id="rId18" w:history="1">
        <w:r w:rsidRPr="00043341">
          <w:rPr>
            <w:rStyle w:val="a8"/>
            <w:rFonts w:ascii="Times New Roman" w:eastAsia="Calibri" w:hAnsi="Times New Roman" w:cs="Times New Roman"/>
            <w:sz w:val="28"/>
            <w:szCs w:val="28"/>
          </w:rPr>
          <w:t>гигиеническим нормативам</w:t>
        </w:r>
      </w:hyperlink>
      <w:r w:rsidRPr="0004334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55602" w:rsidRPr="00043341" w:rsidRDefault="00055602" w:rsidP="0004334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случае несоответствия гигиеническим нормативам качества воды водных объектов, используемых для целей питьевого водоснабжения населения, должна применяться водоподготовка, обеспечивающая качество и безопасность питьевой воды в распределительной сети в соответствии с гигиеническими нормативами.</w:t>
      </w:r>
    </w:p>
    <w:p w:rsidR="00055602" w:rsidRPr="00043341" w:rsidRDefault="00055602" w:rsidP="0004334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эксплуатация подземных источников водоснабжения в отсутствие установленных зон санитарной охраны. 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105 раздел V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для источников питьевого и хозяйственно-бытового водоснабжения зоны санитарной охраны (далее - ЗСО) устанавливаются в соответствии с законодательством Российской Федерации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(</w:t>
      </w:r>
      <w:hyperlink r:id="rId19" w:history="1">
        <w:r w:rsidRPr="00043341">
          <w:rPr>
            <w:rStyle w:val="a8"/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14.03.2002 № 10 "О введении в действие Санитарных правил и норм "Зоны санитарной охраны источников водоснабжения и водопроводов питьевого назначения.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2.1.4.1110-02").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Требованиями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на территории  зон санитарной охраны должны проводиться мероприятия, целью которых является максимальное снижение микробного и химического загрязнения воды источников водоснабжения, позволяющее при современной технологии обработки обеспечивать получение воды питьевого качества.</w:t>
      </w:r>
      <w:r w:rsidRPr="0004334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055602" w:rsidRPr="00043341" w:rsidRDefault="00055602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        -  несоответствие уровня шума от насосного оборудования, лифтов и т.д.  в помещениях жилых зданий гигиеническим требованиям.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43341">
        <w:rPr>
          <w:rFonts w:ascii="Times New Roman" w:hAnsi="Times New Roman" w:cs="Times New Roman"/>
          <w:bCs/>
          <w:sz w:val="28"/>
          <w:szCs w:val="28"/>
        </w:rPr>
        <w:t xml:space="preserve">п. 130  раздела </w:t>
      </w:r>
      <w:r w:rsidRPr="00043341">
        <w:rPr>
          <w:rFonts w:ascii="Times New Roman" w:hAnsi="Times New Roman" w:cs="Times New Roman"/>
          <w:sz w:val="28"/>
          <w:szCs w:val="28"/>
          <w:lang w:val="en-US"/>
        </w:rPr>
        <w:t>VΙΙΙ</w:t>
      </w:r>
      <w:r w:rsidRPr="0004334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proofErr w:type="spellStart"/>
        <w:r w:rsidRPr="00043341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Pr="00043341">
          <w:rPr>
            <w:rFonts w:ascii="Times New Roman" w:hAnsi="Times New Roman" w:cs="Times New Roman"/>
            <w:sz w:val="28"/>
            <w:szCs w:val="28"/>
          </w:rPr>
          <w:t xml:space="preserve"> 2.1.3684-21</w:t>
        </w:r>
      </w:hyperlink>
      <w:r w:rsidRPr="00043341">
        <w:rPr>
          <w:rFonts w:ascii="Times New Roman" w:hAnsi="Times New Roman" w:cs="Times New Roman"/>
          <w:sz w:val="28"/>
          <w:szCs w:val="28"/>
        </w:rPr>
        <w:t xml:space="preserve"> 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r w:rsidRPr="00043341">
        <w:rPr>
          <w:rFonts w:ascii="Times New Roman" w:hAnsi="Times New Roman" w:cs="Times New Roman"/>
          <w:sz w:val="28"/>
          <w:szCs w:val="28"/>
        </w:rPr>
        <w:lastRenderedPageBreak/>
        <w:t>санитарно-противоэпидемических (профилактических) мероприятий» уровни физических факторов  воздействия на человека в многоквартирных жилых домах, индивидуальных жилых домах, общежитиях и центрах временного размещения должны соответствовать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гигиеническим нормативам. Организации, эксплуатирующие </w:t>
      </w:r>
      <w:proofErr w:type="spellStart"/>
      <w:r w:rsidRPr="00043341">
        <w:rPr>
          <w:rFonts w:ascii="Times New Roman" w:hAnsi="Times New Roman" w:cs="Times New Roman"/>
          <w:sz w:val="28"/>
          <w:szCs w:val="28"/>
        </w:rPr>
        <w:t>о</w:t>
      </w:r>
      <w:r w:rsidR="0091677C">
        <w:rPr>
          <w:rFonts w:ascii="Times New Roman" w:hAnsi="Times New Roman" w:cs="Times New Roman"/>
          <w:sz w:val="28"/>
          <w:szCs w:val="28"/>
        </w:rPr>
        <w:t>бщедомовое</w:t>
      </w:r>
      <w:proofErr w:type="spellEnd"/>
      <w:r w:rsidR="0091677C">
        <w:rPr>
          <w:rFonts w:ascii="Times New Roman" w:hAnsi="Times New Roman" w:cs="Times New Roman"/>
          <w:sz w:val="28"/>
          <w:szCs w:val="28"/>
        </w:rPr>
        <w:t xml:space="preserve"> имущество должны обеспечи</w:t>
      </w:r>
      <w:r w:rsidRPr="00043341">
        <w:rPr>
          <w:rFonts w:ascii="Times New Roman" w:hAnsi="Times New Roman" w:cs="Times New Roman"/>
          <w:sz w:val="28"/>
          <w:szCs w:val="28"/>
        </w:rPr>
        <w:t xml:space="preserve">вать его надлежащую эксплуатацию, </w:t>
      </w:r>
      <w:r w:rsidR="0091677C">
        <w:rPr>
          <w:rFonts w:ascii="Times New Roman" w:hAnsi="Times New Roman" w:cs="Times New Roman"/>
          <w:sz w:val="28"/>
          <w:szCs w:val="28"/>
        </w:rPr>
        <w:t>создавшей условия</w:t>
      </w:r>
      <w:r w:rsidRPr="0004334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91677C">
        <w:rPr>
          <w:rFonts w:ascii="Times New Roman" w:hAnsi="Times New Roman" w:cs="Times New Roman"/>
          <w:sz w:val="28"/>
          <w:szCs w:val="28"/>
        </w:rPr>
        <w:t>я</w:t>
      </w:r>
      <w:r w:rsidRPr="00043341">
        <w:rPr>
          <w:rFonts w:ascii="Times New Roman" w:hAnsi="Times New Roman" w:cs="Times New Roman"/>
          <w:sz w:val="28"/>
          <w:szCs w:val="28"/>
        </w:rPr>
        <w:t xml:space="preserve"> техническим условиям и гигиеническим нормативам. </w:t>
      </w:r>
    </w:p>
    <w:p w:rsidR="00043341" w:rsidRPr="00043341" w:rsidRDefault="00043341" w:rsidP="009167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 часто выявляемые нарушения требований санитарного законодательства при проведении контрольно-надзорных мероприятий по разделу надзора по гигиене питания:</w:t>
      </w:r>
    </w:p>
    <w:p w:rsidR="00043341" w:rsidRPr="00043341" w:rsidRDefault="0057123D" w:rsidP="00043341">
      <w:pPr>
        <w:pStyle w:val="a3"/>
        <w:spacing w:line="360" w:lineRule="auto"/>
        <w:ind w:left="0" w:firstLine="1"/>
        <w:contextualSpacing w:val="0"/>
        <w:jc w:val="both"/>
        <w:rPr>
          <w:color w:val="000000" w:themeColor="text1"/>
          <w:sz w:val="28"/>
          <w:szCs w:val="28"/>
        </w:rPr>
      </w:pPr>
      <w:hyperlink r:id="rId21" w:history="1">
        <w:proofErr w:type="spellStart"/>
        <w:r w:rsidR="00043341" w:rsidRPr="00043341">
          <w:rPr>
            <w:color w:val="000000" w:themeColor="text1"/>
            <w:sz w:val="28"/>
            <w:szCs w:val="28"/>
          </w:rPr>
          <w:t>СанПиН</w:t>
        </w:r>
        <w:proofErr w:type="spellEnd"/>
        <w:r w:rsidR="00043341" w:rsidRPr="00043341">
          <w:rPr>
            <w:color w:val="000000" w:themeColor="text1"/>
            <w:sz w:val="28"/>
            <w:szCs w:val="28"/>
          </w:rPr>
          <w:t xml:space="preserve"> 1.2. 3685-21</w:t>
        </w:r>
      </w:hyperlink>
      <w:r w:rsidR="00043341" w:rsidRPr="00043341">
        <w:rPr>
          <w:color w:val="000000" w:themeColor="text1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 в следующих образовательных организациях:</w:t>
      </w:r>
    </w:p>
    <w:p w:rsidR="00FE05BE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количество сотрудников пищеблоков школ не соответствует количеству питающихся детей (гл.6 таб.6.19 </w:t>
      </w:r>
      <w:hyperlink r:id="rId22" w:history="1">
        <w:proofErr w:type="spellStart"/>
        <w:r w:rsidRPr="000433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</w:t>
        </w:r>
        <w:proofErr w:type="spellEnd"/>
        <w:r w:rsidRPr="000433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1.2. 3685-21</w:t>
        </w:r>
      </w:hyperlink>
      <w:r w:rsidRPr="0004334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3341" w:rsidRPr="004C518C" w:rsidRDefault="00043341" w:rsidP="0091677C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8C">
        <w:rPr>
          <w:rFonts w:ascii="Times New Roman" w:hAnsi="Times New Roman" w:cs="Times New Roman"/>
          <w:sz w:val="28"/>
          <w:szCs w:val="28"/>
        </w:rPr>
        <w:t>При  проверках общеобразовательных и дошкольных организаций к</w:t>
      </w:r>
      <w:r w:rsidRPr="004C518C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часто встречающимся нарушения   </w:t>
      </w:r>
      <w:r w:rsidRPr="004C518C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 организациям воспитания и обучения, отдыха и оздоровления детей и молодежи» относятся: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- </w:t>
      </w:r>
      <w:r w:rsidRPr="00043341">
        <w:rPr>
          <w:rFonts w:ascii="Times New Roman" w:hAnsi="Times New Roman" w:cs="Times New Roman"/>
          <w:color w:val="000000"/>
          <w:sz w:val="28"/>
          <w:szCs w:val="28"/>
        </w:rPr>
        <w:t xml:space="preserve"> п.2.5.2, 2.5.3. </w:t>
      </w:r>
      <w:r w:rsidRPr="00043341">
        <w:rPr>
          <w:rFonts w:ascii="Times New Roman" w:hAnsi="Times New Roman" w:cs="Times New Roman"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color w:val="000000"/>
          <w:sz w:val="28"/>
          <w:szCs w:val="28"/>
        </w:rPr>
        <w:t>несвоевременное проведение декоративных ремонтных работ;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43341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должно быть</w:t>
      </w:r>
      <w:r w:rsidRPr="0004334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04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sz w:val="28"/>
          <w:szCs w:val="28"/>
        </w:rPr>
        <w:t xml:space="preserve">Полы не должны иметь дефектов и повреждений и должны быть выполненными из материалов, допускающих влажную обработку и дезинфекцию.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В помещениях с повышенной влажностью воздуха потолки должны быть влагостойкими).</w:t>
      </w:r>
      <w:proofErr w:type="gramEnd"/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34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-п.2.8.3; 2.7.2 несвоевременное восстановление разбитых оконных стекол, использование составных частей стёкол (заплат), ветхие окна (требуется их замена) или окна без форточек 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43341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должно быть</w:t>
      </w:r>
      <w:r w:rsidRPr="0004334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04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sz w:val="28"/>
          <w:szCs w:val="28"/>
        </w:rPr>
        <w:t xml:space="preserve">Остекление окон выполняется из цельного стекла. Не допускается наличие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трещин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и иное нарушение целостности стекла.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</w:t>
      </w:r>
      <w:proofErr w:type="spellStart"/>
      <w:r w:rsidRPr="00043341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043341">
        <w:rPr>
          <w:rFonts w:ascii="Times New Roman" w:hAnsi="Times New Roman" w:cs="Times New Roman"/>
          <w:sz w:val="28"/>
          <w:szCs w:val="28"/>
        </w:rPr>
        <w:t xml:space="preserve"> центрах, павильонах, аэропортах, железнодорожных вокзалах и иных объектах нежилого назначения).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ab/>
        <w:t xml:space="preserve">-п. 2.4.3 несоответствие мебели </w:t>
      </w:r>
      <w:proofErr w:type="spellStart"/>
      <w:r w:rsidRPr="00043341">
        <w:rPr>
          <w:rFonts w:ascii="Times New Roman" w:hAnsi="Times New Roman" w:cs="Times New Roman"/>
          <w:sz w:val="28"/>
          <w:szCs w:val="28"/>
        </w:rPr>
        <w:t>росто-возрастным</w:t>
      </w:r>
      <w:proofErr w:type="spellEnd"/>
      <w:r w:rsidRPr="00043341">
        <w:rPr>
          <w:rFonts w:ascii="Times New Roman" w:hAnsi="Times New Roman" w:cs="Times New Roman"/>
          <w:sz w:val="28"/>
          <w:szCs w:val="28"/>
        </w:rPr>
        <w:t xml:space="preserve"> показателям детей,  маркировки на мебели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(</w:t>
      </w:r>
      <w:r w:rsidRPr="00043341">
        <w:rPr>
          <w:rFonts w:ascii="Times New Roman" w:hAnsi="Times New Roman" w:cs="Times New Roman"/>
          <w:sz w:val="28"/>
          <w:szCs w:val="28"/>
          <w:u w:val="single"/>
        </w:rPr>
        <w:t>должно быть</w:t>
      </w:r>
      <w:r w:rsidRPr="000433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регламентом. 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43341" w:rsidRPr="00043341" w:rsidRDefault="00043341" w:rsidP="000433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b/>
          <w:sz w:val="28"/>
          <w:szCs w:val="28"/>
        </w:rPr>
        <w:t>-</w:t>
      </w:r>
      <w:r w:rsidRPr="00043341">
        <w:rPr>
          <w:rFonts w:ascii="Times New Roman" w:hAnsi="Times New Roman" w:cs="Times New Roman"/>
          <w:sz w:val="28"/>
          <w:szCs w:val="28"/>
        </w:rPr>
        <w:t>п.2.8.5, 2.8.6, 2.8.9,2.8.10</w:t>
      </w:r>
      <w:r w:rsidRPr="00043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sz w:val="28"/>
          <w:szCs w:val="28"/>
        </w:rPr>
        <w:t>несоответствие параметров искусственной освещенности гигиеническим нормативам,</w:t>
      </w:r>
      <w:r w:rsidRPr="000433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43341">
        <w:rPr>
          <w:rFonts w:ascii="Times New Roman" w:hAnsi="Times New Roman" w:cs="Times New Roman"/>
          <w:sz w:val="28"/>
          <w:szCs w:val="28"/>
        </w:rPr>
        <w:t>использование в одном помещении разных тип ламп, а также</w:t>
      </w:r>
      <w:r w:rsidRPr="00043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sz w:val="28"/>
          <w:szCs w:val="28"/>
        </w:rPr>
        <w:t>ламп с разным светоизлучением, не своевременная замена перегоревших ламп,  отсутствие  договоров на утилизацию перегоревших люминесцентных ламп или специальных мест для их хранения.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(</w:t>
      </w:r>
      <w:r w:rsidRPr="00043341">
        <w:rPr>
          <w:rFonts w:ascii="Times New Roman" w:hAnsi="Times New Roman" w:cs="Times New Roman"/>
          <w:sz w:val="28"/>
          <w:szCs w:val="28"/>
          <w:u w:val="single"/>
        </w:rPr>
        <w:t>должно быть</w:t>
      </w:r>
      <w:r w:rsidRPr="000433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, тепло-белый, </w:t>
      </w:r>
      <w:r w:rsidRPr="00043341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естественно-белый. Не допускается в одном помещении использовать разные типы ламп, а также лампы с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341">
        <w:rPr>
          <w:rFonts w:ascii="Times New Roman" w:hAnsi="Times New Roman" w:cs="Times New Roman"/>
          <w:sz w:val="28"/>
          <w:szCs w:val="28"/>
        </w:rPr>
        <w:t>светооизлучением</w:t>
      </w:r>
      <w:proofErr w:type="spellEnd"/>
      <w:r w:rsidRPr="000433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 Все источники искусственного освещения должны содержаться в исправном состоянии и не должны содержать следы загрязнений.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43341" w:rsidRPr="00043341" w:rsidRDefault="00043341" w:rsidP="000433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341" w:rsidRPr="004C518C" w:rsidRDefault="00043341" w:rsidP="00043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8C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питания в образовательных организациях </w:t>
      </w:r>
      <w:r w:rsidRPr="004C518C">
        <w:rPr>
          <w:rFonts w:ascii="Times New Roman" w:hAnsi="Times New Roman" w:cs="Times New Roman"/>
          <w:sz w:val="28"/>
          <w:szCs w:val="28"/>
        </w:rPr>
        <w:t>к</w:t>
      </w:r>
      <w:r w:rsidRPr="004C518C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часто встречающимся нарушениям санитарных правил </w:t>
      </w:r>
      <w:proofErr w:type="spellStart"/>
      <w:r w:rsidRPr="004C518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C518C"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 и СП 2.4.3648-20 «Санитарно-эпидемиологические требования к  организациям воспитания и обучения, отдыха и оздоровления детей и молодежи» относятся: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-</w:t>
      </w:r>
      <w:r w:rsidRPr="00043341">
        <w:rPr>
          <w:rFonts w:ascii="Times New Roman" w:hAnsi="Times New Roman" w:cs="Times New Roman"/>
          <w:sz w:val="28"/>
          <w:szCs w:val="28"/>
        </w:rPr>
        <w:tab/>
        <w:t xml:space="preserve">п.2.4.6.2 -  используется для приготовления блюд алюминиевая  посуда, а также посуда с дефектами эмали 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hAnsi="Times New Roman" w:cs="Times New Roman"/>
          <w:sz w:val="28"/>
          <w:szCs w:val="28"/>
        </w:rPr>
        <w:t>(должно быть: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043341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043341">
        <w:rPr>
          <w:rFonts w:ascii="Times New Roman" w:hAnsi="Times New Roman" w:cs="Times New Roman"/>
          <w:sz w:val="28"/>
          <w:szCs w:val="28"/>
        </w:rPr>
        <w:t xml:space="preserve"> блюд, должен иметь мерную метку объема в литрах и (или) миллилитрах. 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          - п.2.21 </w:t>
      </w:r>
      <w:proofErr w:type="spellStart"/>
      <w:r w:rsidRPr="0004334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hAnsi="Times New Roman" w:cs="Times New Roman"/>
          <w:sz w:val="28"/>
          <w:szCs w:val="28"/>
        </w:rPr>
        <w:t xml:space="preserve"> 2.3/2.4.3590-20, 1.5.</w:t>
      </w:r>
      <w:r w:rsidRPr="00043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341">
        <w:rPr>
          <w:rFonts w:ascii="Times New Roman" w:hAnsi="Times New Roman" w:cs="Times New Roman"/>
          <w:sz w:val="28"/>
          <w:szCs w:val="28"/>
        </w:rPr>
        <w:t xml:space="preserve">СП 2.4.3648-20  не своевременное  прохождение персоналом медицинского осмотра и гигиенического обучения 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gramStart"/>
      <w:r w:rsidRPr="00043341">
        <w:rPr>
          <w:rFonts w:ascii="Times New Roman" w:hAnsi="Times New Roman" w:cs="Times New Roman"/>
          <w:sz w:val="28"/>
          <w:szCs w:val="28"/>
          <w:u w:val="single"/>
        </w:rPr>
        <w:t>(должно быть: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Лица, поступающие на работу в организации общественного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Федерации. 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периодичностью, работники комплекса помещений для приготовления и раздачи пищи - ежегодно), вакцинации  и иметь личную медицинскую книжку  с результатами медицинских обследований и лабораторных исследований, сведениями о прививках, перенесенных инфекционных заболеваниях, о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профессиональной гигиенической подготовки и аттестации с допуском к работе.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43341">
        <w:rPr>
          <w:rFonts w:ascii="Times New Roman" w:hAnsi="Times New Roman" w:cs="Times New Roman"/>
          <w:i/>
          <w:sz w:val="28"/>
          <w:szCs w:val="28"/>
        </w:rPr>
        <w:t>Приказ от 28.01.2021г.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приложение №1 и №2</w:t>
      </w:r>
      <w:proofErr w:type="gramEnd"/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341">
        <w:rPr>
          <w:rFonts w:ascii="Times New Roman" w:hAnsi="Times New Roman" w:cs="Times New Roman"/>
          <w:i/>
          <w:sz w:val="28"/>
          <w:szCs w:val="28"/>
        </w:rPr>
        <w:t>Приказ Минздрава России от 06.12.2021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 (приложение 1-3)</w:t>
      </w:r>
    </w:p>
    <w:p w:rsidR="00043341" w:rsidRPr="00043341" w:rsidRDefault="00043341" w:rsidP="000433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- п.3.10 -несоблюдение требований к  мытью столовой  посуды </w:t>
      </w:r>
    </w:p>
    <w:p w:rsidR="00043341" w:rsidRPr="00043341" w:rsidRDefault="00043341" w:rsidP="000433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hAnsi="Times New Roman" w:cs="Times New Roman"/>
          <w:sz w:val="28"/>
          <w:szCs w:val="28"/>
        </w:rPr>
        <w:t>(должно быть: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Столовые приборы, столовая посуда, чайная посуда, подносы перед раздачей должны быть вымыты и высушены. В конце </w:t>
      </w:r>
      <w:r w:rsidRPr="00043341">
        <w:rPr>
          <w:rFonts w:ascii="Times New Roman" w:hAnsi="Times New Roman" w:cs="Times New Roman"/>
          <w:sz w:val="28"/>
          <w:szCs w:val="28"/>
        </w:rPr>
        <w:lastRenderedPageBreak/>
        <w:t xml:space="preserve">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режимов.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применению).</w:t>
      </w:r>
      <w:proofErr w:type="gramEnd"/>
    </w:p>
    <w:p w:rsidR="008273D0" w:rsidRPr="00043341" w:rsidRDefault="008273D0" w:rsidP="0004334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73D0" w:rsidRPr="00043341" w:rsidRDefault="00043341" w:rsidP="0004334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Наиболее часто выявляемыми нарушениями требований санитарного законодательства при проведении контрольно-надзорных мероприятий по разделу Эпидемиологи</w:t>
      </w:r>
      <w:r w:rsidR="004C518C">
        <w:rPr>
          <w:rFonts w:ascii="Times New Roman" w:hAnsi="Times New Roman" w:cs="Times New Roman"/>
          <w:sz w:val="28"/>
          <w:szCs w:val="28"/>
        </w:rPr>
        <w:t>я</w:t>
      </w:r>
      <w:r w:rsidRPr="00043341">
        <w:rPr>
          <w:rFonts w:ascii="Times New Roman" w:hAnsi="Times New Roman" w:cs="Times New Roman"/>
          <w:sz w:val="28"/>
          <w:szCs w:val="28"/>
        </w:rPr>
        <w:t>:</w:t>
      </w:r>
    </w:p>
    <w:p w:rsidR="00043341" w:rsidRPr="00043341" w:rsidRDefault="00043341" w:rsidP="00043341">
      <w:pPr>
        <w:overflowPunct w:val="0"/>
        <w:autoSpaceDE w:val="0"/>
        <w:autoSpaceDN w:val="0"/>
        <w:adjustRightInd w:val="0"/>
        <w:spacing w:after="0" w:line="360" w:lineRule="auto"/>
        <w:ind w:right="-1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-отмечаются  дефекты внутренней отделки  помещений, что  </w:t>
      </w:r>
      <w:r w:rsidRPr="004C518C">
        <w:rPr>
          <w:rFonts w:ascii="Times New Roman" w:eastAsia="Calibri" w:hAnsi="Times New Roman" w:cs="Times New Roman"/>
          <w:bCs/>
          <w:sz w:val="28"/>
          <w:szCs w:val="28"/>
        </w:rPr>
        <w:t xml:space="preserve">не обеспечивает доступность и качество влажной уборки и дезинфекции поверхностей, что является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bCs/>
          <w:sz w:val="28"/>
          <w:szCs w:val="28"/>
        </w:rPr>
        <w:t>нарушением п. 2.7. главы II СП 2.1.3678-20</w:t>
      </w:r>
      <w:r w:rsidRPr="00043341">
        <w:rPr>
          <w:rFonts w:ascii="Times New Roman" w:eastAsia="Calibri" w:hAnsi="Times New Roman" w:cs="Times New Roman"/>
          <w:bCs/>
          <w:sz w:val="28"/>
          <w:szCs w:val="28"/>
        </w:rPr>
        <w:t xml:space="preserve">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 </w:t>
      </w:r>
    </w:p>
    <w:p w:rsidR="00043341" w:rsidRPr="00043341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bCs/>
          <w:sz w:val="28"/>
          <w:szCs w:val="28"/>
        </w:rPr>
        <w:t>В соответствии с требованиями п. 2.7. главы II СП 2.1.3678-20 -</w:t>
      </w:r>
      <w:r w:rsidRPr="00043341">
        <w:rPr>
          <w:rFonts w:eastAsia="Calibri"/>
          <w:sz w:val="28"/>
          <w:szCs w:val="28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043341" w:rsidRPr="00043341" w:rsidRDefault="00043341" w:rsidP="00043341">
      <w:pPr>
        <w:overflowPunct w:val="0"/>
        <w:autoSpaceDE w:val="0"/>
        <w:autoSpaceDN w:val="0"/>
        <w:adjustRightInd w:val="0"/>
        <w:spacing w:after="0" w:line="360" w:lineRule="auto"/>
        <w:ind w:right="-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-не проводится  проверка эффективности работы, очистка и дезинфекция систем приточно-вытяжной вентиляции, что является нарушением п. 4.5.2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341">
        <w:rPr>
          <w:rFonts w:ascii="Times New Roman" w:eastAsia="Calibri" w:hAnsi="Times New Roman" w:cs="Times New Roman"/>
          <w:bCs/>
          <w:sz w:val="28"/>
          <w:szCs w:val="28"/>
        </w:rPr>
        <w:t xml:space="preserve">главы </w:t>
      </w:r>
      <w:r w:rsidRPr="0004334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0433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43341">
        <w:rPr>
          <w:rFonts w:ascii="Times New Roman" w:eastAsia="Calibri" w:hAnsi="Times New Roman" w:cs="Times New Roman"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043341" w:rsidRPr="00043341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bCs/>
          <w:sz w:val="28"/>
          <w:szCs w:val="28"/>
        </w:rPr>
        <w:lastRenderedPageBreak/>
        <w:t xml:space="preserve">В соответствии с требованиями </w:t>
      </w:r>
      <w:r w:rsidRPr="00043341">
        <w:rPr>
          <w:rFonts w:eastAsia="Calibri"/>
          <w:sz w:val="28"/>
          <w:szCs w:val="28"/>
        </w:rPr>
        <w:t xml:space="preserve">п. 4.5.2 </w:t>
      </w:r>
      <w:r w:rsidRPr="00043341">
        <w:rPr>
          <w:rFonts w:eastAsia="Calibri"/>
          <w:bCs/>
          <w:sz w:val="28"/>
          <w:szCs w:val="28"/>
        </w:rPr>
        <w:t xml:space="preserve">главы </w:t>
      </w:r>
      <w:r w:rsidRPr="00043341">
        <w:rPr>
          <w:rFonts w:eastAsia="Calibri"/>
          <w:bCs/>
          <w:sz w:val="28"/>
          <w:szCs w:val="28"/>
          <w:lang w:val="en-US"/>
        </w:rPr>
        <w:t>IV</w:t>
      </w:r>
      <w:r w:rsidRPr="00043341">
        <w:rPr>
          <w:rFonts w:eastAsia="Calibri"/>
          <w:bCs/>
          <w:sz w:val="28"/>
          <w:szCs w:val="28"/>
        </w:rPr>
        <w:t xml:space="preserve">  СП 2.1.3678-20 -о</w:t>
      </w:r>
      <w:r w:rsidRPr="00043341">
        <w:rPr>
          <w:rFonts w:eastAsia="Calibri"/>
          <w:sz w:val="28"/>
          <w:szCs w:val="28"/>
        </w:rPr>
        <w:t>дин раз в год должна проводиться проверка эффективности работы, а также очистка и дезинфекция систем механической приточно-вытяжной вентиляции и кондиционирования.</w:t>
      </w:r>
    </w:p>
    <w:p w:rsidR="00043341" w:rsidRPr="00043341" w:rsidRDefault="00043341" w:rsidP="00043341">
      <w:pPr>
        <w:overflowPunct w:val="0"/>
        <w:autoSpaceDE w:val="0"/>
        <w:autoSpaceDN w:val="0"/>
        <w:adjustRightInd w:val="0"/>
        <w:spacing w:after="0" w:line="360" w:lineRule="auto"/>
        <w:ind w:right="-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-отсутствуют смесители с бесконтактным управлением и дозаторами с жидким (антисептическим) мылом, иными моющими средствами и растворами </w:t>
      </w:r>
      <w:proofErr w:type="gramStart"/>
      <w:r w:rsidRPr="004C518C">
        <w:rPr>
          <w:rFonts w:ascii="Times New Roman" w:eastAsia="Calibri" w:hAnsi="Times New Roman" w:cs="Times New Roman"/>
          <w:sz w:val="28"/>
          <w:szCs w:val="28"/>
        </w:rPr>
        <w:t>антисептиков</w:t>
      </w:r>
      <w:proofErr w:type="gram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что является нарушением п. 4.4.6. </w:t>
      </w:r>
      <w:r w:rsidRPr="004C518C">
        <w:rPr>
          <w:rFonts w:ascii="Times New Roman" w:eastAsia="Calibri" w:hAnsi="Times New Roman" w:cs="Times New Roman"/>
          <w:bCs/>
          <w:sz w:val="28"/>
          <w:szCs w:val="28"/>
        </w:rPr>
        <w:t xml:space="preserve">главы </w:t>
      </w:r>
      <w:r w:rsidRPr="004C518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4C51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СП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043341" w:rsidRPr="00043341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proofErr w:type="gramStart"/>
      <w:r w:rsidRPr="00043341">
        <w:rPr>
          <w:rFonts w:eastAsia="Calibri"/>
          <w:bCs/>
          <w:sz w:val="28"/>
          <w:szCs w:val="28"/>
        </w:rPr>
        <w:t xml:space="preserve">В соответствии с требованиями </w:t>
      </w:r>
      <w:r w:rsidRPr="00043341">
        <w:rPr>
          <w:rFonts w:eastAsia="Calibri"/>
          <w:sz w:val="28"/>
          <w:szCs w:val="28"/>
        </w:rPr>
        <w:t xml:space="preserve">п. 4.4.6 </w:t>
      </w:r>
      <w:r w:rsidRPr="00043341">
        <w:rPr>
          <w:rFonts w:eastAsia="Calibri"/>
          <w:bCs/>
          <w:sz w:val="28"/>
          <w:szCs w:val="28"/>
        </w:rPr>
        <w:t xml:space="preserve">главы </w:t>
      </w:r>
      <w:r w:rsidRPr="00043341">
        <w:rPr>
          <w:rFonts w:eastAsia="Calibri"/>
          <w:bCs/>
          <w:sz w:val="28"/>
          <w:szCs w:val="28"/>
          <w:lang w:val="en-US"/>
        </w:rPr>
        <w:t>IV</w:t>
      </w:r>
      <w:r w:rsidRPr="00043341">
        <w:rPr>
          <w:rFonts w:eastAsia="Calibri"/>
          <w:bCs/>
          <w:sz w:val="28"/>
          <w:szCs w:val="28"/>
        </w:rPr>
        <w:t xml:space="preserve">  СП 2.1.3678-20 -</w:t>
      </w:r>
      <w:r w:rsidRPr="00043341">
        <w:rPr>
          <w:rFonts w:eastAsia="Calibri"/>
          <w:sz w:val="28"/>
          <w:szCs w:val="28"/>
        </w:rPr>
        <w:t xml:space="preserve">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оборудуются: предоперационные, перевязочные, родовые залы, реанимационные, процедурные кабинеты, инфекционные, туберкулезные, кожно-венерологические, гнойные, ожоговые, гематологические отделения, клинико-диагностические и бактериологические лаборатории, а также в санитарных пропускниках, шлюзах-боксах, полубоксах.</w:t>
      </w:r>
      <w:proofErr w:type="gramEnd"/>
    </w:p>
    <w:p w:rsidR="00043341" w:rsidRPr="00043341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proofErr w:type="gramStart"/>
      <w:r w:rsidRPr="004C518C">
        <w:rPr>
          <w:rFonts w:eastAsia="Calibri"/>
          <w:sz w:val="28"/>
          <w:szCs w:val="28"/>
        </w:rPr>
        <w:t>-используется мебель, выполненная из материалов, не устойчивых к воздействию моющих и дезинфицирующих средств (стулья с тканевой</w:t>
      </w:r>
      <w:r w:rsidRPr="00043341">
        <w:rPr>
          <w:rFonts w:eastAsia="Calibri"/>
          <w:sz w:val="28"/>
          <w:szCs w:val="28"/>
        </w:rPr>
        <w:t xml:space="preserve"> обивкой),</w:t>
      </w:r>
      <w:r w:rsidRPr="00043341">
        <w:rPr>
          <w:rFonts w:eastAsia="Calibri"/>
          <w:b/>
          <w:sz w:val="28"/>
          <w:szCs w:val="28"/>
        </w:rPr>
        <w:t xml:space="preserve"> </w:t>
      </w:r>
      <w:r w:rsidRPr="00043341">
        <w:rPr>
          <w:rFonts w:eastAsia="Calibri"/>
          <w:sz w:val="28"/>
          <w:szCs w:val="28"/>
        </w:rPr>
        <w:t xml:space="preserve">что является нарушением п. 4.7. </w:t>
      </w:r>
      <w:r w:rsidRPr="00043341">
        <w:rPr>
          <w:rFonts w:eastAsia="Calibri"/>
          <w:bCs/>
          <w:sz w:val="28"/>
          <w:szCs w:val="28"/>
        </w:rPr>
        <w:t xml:space="preserve">главы </w:t>
      </w:r>
      <w:r w:rsidRPr="00043341">
        <w:rPr>
          <w:rFonts w:eastAsia="Calibri"/>
          <w:bCs/>
          <w:sz w:val="28"/>
          <w:szCs w:val="28"/>
          <w:lang w:val="en-US"/>
        </w:rPr>
        <w:t>IV</w:t>
      </w:r>
      <w:r w:rsidRPr="00043341">
        <w:rPr>
          <w:rFonts w:eastAsia="Calibri"/>
          <w:bCs/>
          <w:sz w:val="28"/>
          <w:szCs w:val="28"/>
        </w:rPr>
        <w:t xml:space="preserve">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  <w:proofErr w:type="gramEnd"/>
    </w:p>
    <w:p w:rsidR="00043341" w:rsidRPr="00043341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bCs/>
          <w:sz w:val="28"/>
          <w:szCs w:val="28"/>
        </w:rPr>
        <w:t xml:space="preserve">В соответствии с требованиями </w:t>
      </w:r>
      <w:r w:rsidRPr="00043341">
        <w:rPr>
          <w:rFonts w:eastAsia="Calibri"/>
          <w:sz w:val="28"/>
          <w:szCs w:val="28"/>
        </w:rPr>
        <w:t xml:space="preserve">п. 4.7 </w:t>
      </w:r>
      <w:r w:rsidRPr="00043341">
        <w:rPr>
          <w:rFonts w:eastAsia="Calibri"/>
          <w:bCs/>
          <w:sz w:val="28"/>
          <w:szCs w:val="28"/>
        </w:rPr>
        <w:t xml:space="preserve">главы </w:t>
      </w:r>
      <w:r w:rsidRPr="00043341">
        <w:rPr>
          <w:rFonts w:eastAsia="Calibri"/>
          <w:bCs/>
          <w:sz w:val="28"/>
          <w:szCs w:val="28"/>
          <w:lang w:val="en-US"/>
        </w:rPr>
        <w:t>IV</w:t>
      </w:r>
      <w:r w:rsidRPr="00043341">
        <w:rPr>
          <w:rFonts w:eastAsia="Calibri"/>
          <w:bCs/>
          <w:sz w:val="28"/>
          <w:szCs w:val="28"/>
        </w:rPr>
        <w:t xml:space="preserve">  СП 2.1.3678-20 - в</w:t>
      </w:r>
      <w:r w:rsidRPr="00043341">
        <w:rPr>
          <w:rFonts w:eastAsia="Calibri"/>
          <w:sz w:val="28"/>
          <w:szCs w:val="28"/>
        </w:rPr>
        <w:t xml:space="preserve"> лечебных, диагностических и вспомогательных помещениях (кроме административных и вестибюльных) должна использоваться мебель, выполненная из </w:t>
      </w:r>
      <w:r w:rsidRPr="00043341">
        <w:rPr>
          <w:rFonts w:eastAsia="Calibri"/>
          <w:sz w:val="28"/>
          <w:szCs w:val="28"/>
        </w:rPr>
        <w:lastRenderedPageBreak/>
        <w:t>материалов, устойчивых к воздействию моющих и дезинфицирующих средств.</w:t>
      </w:r>
    </w:p>
    <w:p w:rsidR="00043341" w:rsidRPr="00043341" w:rsidRDefault="00043341" w:rsidP="00043341">
      <w:pPr>
        <w:overflowPunct w:val="0"/>
        <w:autoSpaceDE w:val="0"/>
        <w:autoSpaceDN w:val="0"/>
        <w:adjustRightInd w:val="0"/>
        <w:spacing w:after="0" w:line="360" w:lineRule="auto"/>
        <w:ind w:right="-1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-инженерные коммуникации систем водоснабжения и водоотведения в лечебных, диагностических и вспомогательных помещениях, не проложены в закрытых </w:t>
      </w:r>
      <w:proofErr w:type="gramStart"/>
      <w:r w:rsidRPr="004C518C">
        <w:rPr>
          <w:rFonts w:ascii="Times New Roman" w:eastAsia="Calibri" w:hAnsi="Times New Roman" w:cs="Times New Roman"/>
          <w:sz w:val="28"/>
          <w:szCs w:val="28"/>
        </w:rPr>
        <w:t>коробах</w:t>
      </w:r>
      <w:proofErr w:type="gram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что является нарушением п.4.4.10. главы </w:t>
      </w:r>
      <w:r w:rsidRPr="004C518C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043341" w:rsidRPr="00043341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bCs/>
          <w:sz w:val="28"/>
          <w:szCs w:val="28"/>
        </w:rPr>
        <w:t xml:space="preserve">В соответствии с требованиями </w:t>
      </w:r>
      <w:r w:rsidRPr="00043341">
        <w:rPr>
          <w:rFonts w:eastAsia="Calibri"/>
          <w:sz w:val="28"/>
          <w:szCs w:val="28"/>
        </w:rPr>
        <w:t xml:space="preserve">п. 4.4.10 </w:t>
      </w:r>
      <w:r w:rsidRPr="00043341">
        <w:rPr>
          <w:rFonts w:eastAsia="Calibri"/>
          <w:bCs/>
          <w:sz w:val="28"/>
          <w:szCs w:val="28"/>
        </w:rPr>
        <w:t xml:space="preserve">главы </w:t>
      </w:r>
      <w:r w:rsidRPr="00043341">
        <w:rPr>
          <w:rFonts w:eastAsia="Calibri"/>
          <w:bCs/>
          <w:sz w:val="28"/>
          <w:szCs w:val="28"/>
          <w:lang w:val="en-US"/>
        </w:rPr>
        <w:t>IV</w:t>
      </w:r>
      <w:r w:rsidRPr="00043341">
        <w:rPr>
          <w:rFonts w:eastAsia="Calibri"/>
          <w:bCs/>
          <w:sz w:val="28"/>
          <w:szCs w:val="28"/>
        </w:rPr>
        <w:t xml:space="preserve">  СП 2.1.3678-20 -и</w:t>
      </w:r>
      <w:r w:rsidRPr="00043341">
        <w:rPr>
          <w:rFonts w:eastAsia="Calibri"/>
          <w:sz w:val="28"/>
          <w:szCs w:val="28"/>
        </w:rPr>
        <w:t xml:space="preserve">нженерные коммуникации систем водоснабжения и водоотведения в лечебных, диагностических и вспомогательных помещениях, </w:t>
      </w:r>
      <w:proofErr w:type="gramStart"/>
      <w:r w:rsidRPr="00043341">
        <w:rPr>
          <w:rFonts w:eastAsia="Calibri"/>
          <w:sz w:val="28"/>
          <w:szCs w:val="28"/>
        </w:rPr>
        <w:t>кроме</w:t>
      </w:r>
      <w:proofErr w:type="gramEnd"/>
      <w:r w:rsidRPr="00043341">
        <w:rPr>
          <w:rFonts w:eastAsia="Calibri"/>
          <w:sz w:val="28"/>
          <w:szCs w:val="28"/>
        </w:rPr>
        <w:t xml:space="preserve"> административных, должны быть проложены в закрытых коробах.</w:t>
      </w:r>
    </w:p>
    <w:p w:rsidR="00043341" w:rsidRPr="004C518C" w:rsidRDefault="00043341" w:rsidP="00043341">
      <w:pPr>
        <w:pStyle w:val="ConsPlusNormal"/>
        <w:spacing w:line="360" w:lineRule="auto"/>
        <w:jc w:val="both"/>
        <w:rPr>
          <w:rFonts w:eastAsia="Calibri"/>
          <w:sz w:val="28"/>
          <w:szCs w:val="28"/>
        </w:rPr>
      </w:pPr>
      <w:r w:rsidRPr="004C518C">
        <w:rPr>
          <w:rFonts w:eastAsia="Calibri"/>
          <w:sz w:val="28"/>
          <w:szCs w:val="28"/>
        </w:rPr>
        <w:t xml:space="preserve">- не проводятся плановые обследования объектов на заселенность грызунами и насекомыми. 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101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3.3686-21 «Санитарно-эпидемиологические требования по профилактике инфекционных болезней» кратность плановых обследований на заселенность членистоногими объектов, имеющих особое эпидемиологическое значение, должна составлять не менее 2 раз в месяц, для других объектов - 1 раз в месяц (в местах общего пользования многоквартирных домов, общежитий), в очагах инфекционных и паразитарных заболеваний, а также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анофелогенных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водоемов - 1 раз в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неделю, открытых территорий - 1 раз в месяц.</w:t>
      </w:r>
    </w:p>
    <w:p w:rsidR="00043341" w:rsidRPr="00043341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110. На объектах, имеющих особое эпидемиологическое значение, дератизация осуществляется по результатам ежемесячной оценки (контрольные мероприятия проводятся 1 раз в месяц). </w:t>
      </w:r>
    </w:p>
    <w:p w:rsidR="00043341" w:rsidRPr="004C518C" w:rsidRDefault="00043341" w:rsidP="000433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- в рамках периодического медицинского осмотра медицинским работникам не проводится определение концентрации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анти-НВ</w:t>
      </w:r>
      <w:proofErr w:type="gramStart"/>
      <w:r w:rsidRPr="004C518C">
        <w:rPr>
          <w:rFonts w:ascii="Times New Roman" w:eastAsia="Calibri" w:hAnsi="Times New Roman" w:cs="Times New Roman"/>
          <w:sz w:val="28"/>
          <w:szCs w:val="28"/>
        </w:rPr>
        <w:t>s</w:t>
      </w:r>
      <w:proofErr w:type="spellEnd"/>
      <w:proofErr w:type="gram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в крови.</w:t>
      </w:r>
    </w:p>
    <w:p w:rsidR="00043341" w:rsidRPr="00043341" w:rsidRDefault="00043341" w:rsidP="00043341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043341">
        <w:rPr>
          <w:rFonts w:eastAsia="Times New Roman CYR"/>
          <w:color w:val="000000"/>
          <w:sz w:val="28"/>
          <w:szCs w:val="28"/>
        </w:rPr>
        <w:t xml:space="preserve">В соответствии с п.767 </w:t>
      </w:r>
      <w:proofErr w:type="spellStart"/>
      <w:r w:rsidRPr="00043341">
        <w:rPr>
          <w:sz w:val="28"/>
          <w:szCs w:val="28"/>
        </w:rPr>
        <w:t>СаНПиН</w:t>
      </w:r>
      <w:proofErr w:type="spellEnd"/>
      <w:r w:rsidRPr="00043341">
        <w:rPr>
          <w:sz w:val="28"/>
          <w:szCs w:val="28"/>
        </w:rPr>
        <w:t xml:space="preserve"> 3.3686-21 «Санитарно-эпидемиологические требования по профилактике инфекционных болезней» с целью </w:t>
      </w:r>
      <w:r w:rsidRPr="00043341">
        <w:rPr>
          <w:sz w:val="28"/>
          <w:szCs w:val="28"/>
        </w:rPr>
        <w:lastRenderedPageBreak/>
        <w:t>профилактики профессиональных заражений Г</w:t>
      </w:r>
      <w:proofErr w:type="gramStart"/>
      <w:r w:rsidRPr="00043341">
        <w:rPr>
          <w:sz w:val="28"/>
          <w:szCs w:val="28"/>
        </w:rPr>
        <w:t>B</w:t>
      </w:r>
      <w:proofErr w:type="gramEnd"/>
      <w:r w:rsidRPr="00043341">
        <w:rPr>
          <w:sz w:val="28"/>
          <w:szCs w:val="28"/>
        </w:rPr>
        <w:t xml:space="preserve"> и ГC проводится ежегодное обследование медицинских работников с определением концентрации </w:t>
      </w:r>
      <w:proofErr w:type="spellStart"/>
      <w:r w:rsidRPr="00043341">
        <w:rPr>
          <w:sz w:val="28"/>
          <w:szCs w:val="28"/>
        </w:rPr>
        <w:t>анти-HBs</w:t>
      </w:r>
      <w:proofErr w:type="spellEnd"/>
      <w:r w:rsidRPr="00043341">
        <w:rPr>
          <w:sz w:val="28"/>
          <w:szCs w:val="28"/>
        </w:rPr>
        <w:t>.</w:t>
      </w:r>
    </w:p>
    <w:p w:rsidR="00043341" w:rsidRPr="004C518C" w:rsidRDefault="00043341" w:rsidP="00043341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4C518C">
        <w:rPr>
          <w:sz w:val="28"/>
          <w:szCs w:val="28"/>
        </w:rPr>
        <w:t>- в соответствии с программой производственного контроля не проводятся лабораторные и инструментальные исследования параметров микроклимата, воздуха помещений, стерильности изделий медицинского назначения, смывов с объектов окружающей среды, воздуха помещений  на соответствие нормам санитарно-эпидемиологических требований.</w:t>
      </w:r>
    </w:p>
    <w:p w:rsidR="00043341" w:rsidRPr="00043341" w:rsidRDefault="00043341" w:rsidP="00043341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043341">
        <w:rPr>
          <w:sz w:val="28"/>
          <w:szCs w:val="28"/>
        </w:rPr>
        <w:t xml:space="preserve">В соответствии с п. 82 раздела III </w:t>
      </w:r>
      <w:proofErr w:type="spellStart"/>
      <w:r w:rsidRPr="00043341">
        <w:rPr>
          <w:sz w:val="28"/>
          <w:szCs w:val="28"/>
        </w:rPr>
        <w:t>СаНПиН</w:t>
      </w:r>
      <w:proofErr w:type="spellEnd"/>
      <w:r w:rsidRPr="00043341">
        <w:rPr>
          <w:sz w:val="28"/>
          <w:szCs w:val="28"/>
        </w:rPr>
        <w:t xml:space="preserve"> 3.3686-21 «Санитарно-эпидемиологические требования по профилактике инфекционных болезней» юридические и физические лица при осуществлении дезинфекционной деятельности должны обеспечивать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мероприятий, в том числе за качеством дезинфекционных мероприятий, включая их объем и оценку эффективности, а также соблюдение требований безопасности.</w:t>
      </w:r>
      <w:proofErr w:type="gramEnd"/>
    </w:p>
    <w:p w:rsidR="008273D0" w:rsidRPr="00043341" w:rsidRDefault="008273D0" w:rsidP="00043341">
      <w:pPr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341" w:rsidRPr="00043341" w:rsidRDefault="00043341" w:rsidP="0091677C">
      <w:pPr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Наиболее часто выявляемыми нарушениями требований санитарного законодательства при проведении контрольно-надзорных мероприятий по разделу Радиологического контроля: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отсутствие санитарно-эпидемиологического заключения на проектную документацию на условия размещения радиоэлектронного средства.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Как должно быть:</w:t>
      </w:r>
    </w:p>
    <w:p w:rsidR="00043341" w:rsidRPr="00043341" w:rsidRDefault="00043341" w:rsidP="0091677C">
      <w:pPr>
        <w:pStyle w:val="ConsPlusNormal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43341">
        <w:rPr>
          <w:rFonts w:eastAsia="Calibri"/>
          <w:sz w:val="28"/>
          <w:szCs w:val="28"/>
        </w:rPr>
        <w:t xml:space="preserve">В соответствии с пунктом 290 </w:t>
      </w:r>
      <w:proofErr w:type="spellStart"/>
      <w:r w:rsidRPr="004C518C">
        <w:rPr>
          <w:rFonts w:eastAsia="Calibri"/>
          <w:sz w:val="28"/>
          <w:szCs w:val="28"/>
        </w:rPr>
        <w:t>СанПиН</w:t>
      </w:r>
      <w:proofErr w:type="spellEnd"/>
      <w:r w:rsidRPr="004C518C">
        <w:rPr>
          <w:rFonts w:eastAsia="Calibri"/>
          <w:sz w:val="28"/>
          <w:szCs w:val="28"/>
        </w:rPr>
        <w:t xml:space="preserve"> 2.1.3684-21</w:t>
      </w:r>
      <w:r w:rsidRPr="00043341">
        <w:rPr>
          <w:rFonts w:eastAsia="Calibri"/>
          <w:b/>
          <w:sz w:val="28"/>
          <w:szCs w:val="28"/>
        </w:rPr>
        <w:t xml:space="preserve"> </w:t>
      </w:r>
      <w:r w:rsidRPr="00043341">
        <w:rPr>
          <w:rFonts w:eastAsia="Calibri"/>
          <w:sz w:val="28"/>
          <w:szCs w:val="28"/>
        </w:rPr>
        <w:t xml:space="preserve"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Pr="00043341">
        <w:rPr>
          <w:rFonts w:eastAsia="Calibri"/>
          <w:sz w:val="28"/>
          <w:szCs w:val="28"/>
        </w:rPr>
        <w:lastRenderedPageBreak/>
        <w:t>(профилактических) мероприятий» перед размещением, реконструкцией, техническим перевооружением (модернизацией)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</w:t>
      </w:r>
      <w:proofErr w:type="gramEnd"/>
      <w:r w:rsidRPr="00043341">
        <w:rPr>
          <w:rFonts w:eastAsia="Calibri"/>
          <w:sz w:val="28"/>
          <w:szCs w:val="28"/>
        </w:rPr>
        <w:t xml:space="preserve"> средства (далее - РЭС), на </w:t>
      </w:r>
      <w:proofErr w:type="gramStart"/>
      <w:r w:rsidRPr="00043341">
        <w:rPr>
          <w:rFonts w:eastAsia="Calibri"/>
          <w:sz w:val="28"/>
          <w:szCs w:val="28"/>
        </w:rPr>
        <w:t>которую</w:t>
      </w:r>
      <w:proofErr w:type="gramEnd"/>
      <w:r w:rsidRPr="00043341">
        <w:rPr>
          <w:rFonts w:eastAsia="Calibri"/>
          <w:sz w:val="28"/>
          <w:szCs w:val="28"/>
        </w:rPr>
        <w:t xml:space="preserve"> должно оформляться санитарно-эпидемиологическое заключение о соответствии Санитарным правилам и гигиеническим нормативам (Пункт 2 статьи 12 Федерального закона от 30.03.1999 N 52-ФЗ).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уровни электромагнитных полей, создаваемых радиоэлектронных средством внутри жилых зданий превышают предельно допустимые уровни, указанные в гигиенических нормативах. 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Как должно быть:</w:t>
      </w:r>
    </w:p>
    <w:p w:rsidR="00043341" w:rsidRPr="00043341" w:rsidRDefault="00043341" w:rsidP="0091677C">
      <w:pPr>
        <w:pStyle w:val="ConsPlusNormal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sz w:val="28"/>
          <w:szCs w:val="28"/>
        </w:rPr>
        <w:t xml:space="preserve">В соответствии с пунктом 291 </w:t>
      </w:r>
      <w:proofErr w:type="spellStart"/>
      <w:r w:rsidRPr="004C518C">
        <w:rPr>
          <w:rFonts w:eastAsia="Calibri"/>
          <w:sz w:val="28"/>
          <w:szCs w:val="28"/>
        </w:rPr>
        <w:t>СанПиН</w:t>
      </w:r>
      <w:proofErr w:type="spellEnd"/>
      <w:r w:rsidRPr="004C518C">
        <w:rPr>
          <w:rFonts w:eastAsia="Calibri"/>
          <w:sz w:val="28"/>
          <w:szCs w:val="28"/>
        </w:rPr>
        <w:t xml:space="preserve"> 2.1.3684-21</w:t>
      </w:r>
      <w:r w:rsidRPr="00043341">
        <w:rPr>
          <w:rFonts w:eastAsia="Calibri"/>
          <w:sz w:val="28"/>
          <w:szCs w:val="28"/>
        </w:rPr>
        <w:t>, при решении вопросов размещения объектов гражданского назначения, а также при проектировании реконструкции, техническом перевооружении, объектов инженерной инфраструктуры должны соблюдаться следующие санитарно-эпидемиологические требования:</w:t>
      </w:r>
    </w:p>
    <w:p w:rsidR="00043341" w:rsidRPr="00043341" w:rsidRDefault="00043341" w:rsidP="0091677C">
      <w:pPr>
        <w:pStyle w:val="ConsPlusNormal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sz w:val="28"/>
          <w:szCs w:val="28"/>
        </w:rPr>
        <w:t>уровни ЭМП, создаваемых РЭС в зонах рекреационного назначения, на территории жилой застройки и в местах, связанных с пребыванием людей, внутри жилых, общественных зданий, не должны превышать ПДУ, указанные в гигиенических нормативах.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Эксплуатация радиоэлектронного средства производится с нарушением обязательных требований табл. 5.42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1.2.3685-21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– в результате проведенных в рамках внепланового рейдового осмотра измерений обнаружено превышение предельно допустимого уровня плотности потока энергии электромагнитного поля от радиоэлектронного средства, работающего в диапазоне частот 0,3 – 300 ГГц. </w:t>
      </w:r>
      <w:proofErr w:type="gramEnd"/>
    </w:p>
    <w:p w:rsidR="00043341" w:rsidRPr="00043341" w:rsidRDefault="00043341" w:rsidP="0091677C">
      <w:pPr>
        <w:pStyle w:val="ConsPlusNormal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sz w:val="28"/>
          <w:szCs w:val="28"/>
        </w:rPr>
        <w:lastRenderedPageBreak/>
        <w:t xml:space="preserve">В соответствии с таблицей 5.42. </w:t>
      </w:r>
      <w:proofErr w:type="spellStart"/>
      <w:r w:rsidRPr="00043341">
        <w:rPr>
          <w:rFonts w:eastAsia="Calibri"/>
          <w:sz w:val="28"/>
          <w:szCs w:val="28"/>
        </w:rPr>
        <w:t>СанПиН</w:t>
      </w:r>
      <w:proofErr w:type="spellEnd"/>
      <w:r w:rsidRPr="00043341">
        <w:rPr>
          <w:rFonts w:eastAsia="Calibri"/>
          <w:sz w:val="28"/>
          <w:szCs w:val="28"/>
        </w:rPr>
        <w:t xml:space="preserve"> 1.2.3685-21 Предельно допустимый уровень плотности потока энергии в диапазоне частот 0,3 - 300 ГГц составляет 10 мкВт/см</w:t>
      </w:r>
      <w:proofErr w:type="gramStart"/>
      <w:r w:rsidRPr="00043341">
        <w:rPr>
          <w:rFonts w:eastAsia="Calibri"/>
          <w:sz w:val="28"/>
          <w:szCs w:val="28"/>
          <w:vertAlign w:val="superscript"/>
        </w:rPr>
        <w:t>2</w:t>
      </w:r>
      <w:proofErr w:type="gramEnd"/>
      <w:r w:rsidRPr="00043341">
        <w:rPr>
          <w:rFonts w:eastAsia="Calibri"/>
          <w:sz w:val="28"/>
          <w:szCs w:val="28"/>
          <w:vertAlign w:val="superscript"/>
        </w:rPr>
        <w:t xml:space="preserve"> </w:t>
      </w:r>
      <w:r w:rsidRPr="00043341">
        <w:rPr>
          <w:rFonts w:eastAsia="Calibri"/>
          <w:sz w:val="28"/>
          <w:szCs w:val="28"/>
        </w:rPr>
        <w:t>(25 мкВт/см</w:t>
      </w:r>
      <w:r w:rsidRPr="00043341">
        <w:rPr>
          <w:rFonts w:eastAsia="Calibri"/>
          <w:sz w:val="28"/>
          <w:szCs w:val="28"/>
          <w:vertAlign w:val="superscript"/>
        </w:rPr>
        <w:t xml:space="preserve">2 </w:t>
      </w:r>
      <w:r w:rsidRPr="00043341">
        <w:rPr>
          <w:rFonts w:eastAsia="Calibri"/>
          <w:sz w:val="28"/>
          <w:szCs w:val="28"/>
        </w:rPr>
        <w:t>для случаев облучения от антенн, работающих в режиме кругового обзора или сканирования).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на используемом оборудовании в доступном для обозрения месте не указана информация о владельце оборудования, номере и наименовании РЭС, координаты места установки РЭС с точностью до единиц угловых секунд и адрес места установки.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Как должно быть:</w:t>
      </w:r>
    </w:p>
    <w:p w:rsidR="00043341" w:rsidRPr="00043341" w:rsidRDefault="00043341" w:rsidP="0091677C">
      <w:pPr>
        <w:pStyle w:val="ConsPlusNormal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sz w:val="28"/>
          <w:szCs w:val="28"/>
        </w:rPr>
        <w:t xml:space="preserve">В соответствии с пунктом 294 </w:t>
      </w:r>
      <w:proofErr w:type="spellStart"/>
      <w:r w:rsidRPr="004C518C">
        <w:rPr>
          <w:rFonts w:eastAsia="Calibri"/>
          <w:sz w:val="28"/>
          <w:szCs w:val="28"/>
        </w:rPr>
        <w:t>СанПиН</w:t>
      </w:r>
      <w:proofErr w:type="spellEnd"/>
      <w:r w:rsidRPr="004C518C">
        <w:rPr>
          <w:rFonts w:eastAsia="Calibri"/>
          <w:sz w:val="28"/>
          <w:szCs w:val="28"/>
        </w:rPr>
        <w:t xml:space="preserve"> 2.1.3684-21</w:t>
      </w:r>
      <w:r w:rsidRPr="00043341">
        <w:rPr>
          <w:rFonts w:eastAsia="Calibri"/>
          <w:sz w:val="28"/>
          <w:szCs w:val="28"/>
        </w:rPr>
        <w:t>, на устанавливаемом оборудовании в доступном для обозрения месте должна быть указана информация о владельце оборудования, номере и наименовании РЭС, координаты места установки РЭС с точностью до единиц угловых секунд и адрес места установки.</w:t>
      </w:r>
    </w:p>
    <w:p w:rsidR="00043341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владелец радиоэлектронного средства не обеспечил проведение производственного контроля электромагнитных полей, предусматривающего проведение инструментальных исследований уровней электромагнитных полей в течение 10 рабочих дней после дня ввода радиоэлектронного средства в эксплуатацию.</w:t>
      </w:r>
    </w:p>
    <w:p w:rsidR="004C518C" w:rsidRPr="004C518C" w:rsidRDefault="004C518C" w:rsidP="0091677C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4C518C">
        <w:rPr>
          <w:rFonts w:eastAsia="Calibri"/>
          <w:sz w:val="28"/>
          <w:szCs w:val="28"/>
        </w:rPr>
        <w:t>Как должно быть:</w:t>
      </w:r>
    </w:p>
    <w:p w:rsidR="00043341" w:rsidRPr="00043341" w:rsidRDefault="00043341" w:rsidP="0091677C">
      <w:pPr>
        <w:pStyle w:val="ConsPlusNormal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43341">
        <w:rPr>
          <w:rFonts w:eastAsia="Calibri"/>
          <w:sz w:val="28"/>
          <w:szCs w:val="28"/>
        </w:rPr>
        <w:t xml:space="preserve">В соответствии с пунктом 296 </w:t>
      </w:r>
      <w:proofErr w:type="spellStart"/>
      <w:r w:rsidRPr="004C518C">
        <w:rPr>
          <w:rFonts w:eastAsia="Calibri"/>
          <w:sz w:val="28"/>
          <w:szCs w:val="28"/>
        </w:rPr>
        <w:t>СанПиН</w:t>
      </w:r>
      <w:proofErr w:type="spellEnd"/>
      <w:r w:rsidRPr="004C518C">
        <w:rPr>
          <w:rFonts w:eastAsia="Calibri"/>
          <w:sz w:val="28"/>
          <w:szCs w:val="28"/>
        </w:rPr>
        <w:t xml:space="preserve"> 2.1.3684-21</w:t>
      </w:r>
      <w:r w:rsidRPr="00043341">
        <w:rPr>
          <w:rFonts w:eastAsia="Calibri"/>
          <w:sz w:val="28"/>
          <w:szCs w:val="28"/>
        </w:rPr>
        <w:t>, владелец РЭС, осуществляющий эксплуатацию РЭС, обеспечивает проведение производственного контроля ЭМП, предусматривающего проведение инструментальных исследований уровней ЭМП в течение 10 рабочих дней после дня ввода РЭС в эксплуатацию, далее - один раз в три года.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Style w:val="blk"/>
          <w:rFonts w:ascii="Times New Roman" w:eastAsia="Calibri" w:hAnsi="Times New Roman" w:cs="Times New Roman"/>
          <w:sz w:val="28"/>
          <w:szCs w:val="28"/>
        </w:rPr>
        <w:t xml:space="preserve">Отсутствует санитарно-эпидемиологическое заключение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на условия выполнения работ при осуществлении деятельности с источниками ионизирующего излучения. 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</w:t>
      </w:r>
      <w:r w:rsidRPr="004C518C">
        <w:rPr>
          <w:rFonts w:ascii="Times New Roman" w:eastAsia="Calibri" w:hAnsi="Times New Roman" w:cs="Times New Roman"/>
          <w:sz w:val="28"/>
          <w:szCs w:val="28"/>
        </w:rPr>
        <w:t>пунктом 3 Статьи 27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30.03.1999 </w:t>
      </w:r>
      <w:r w:rsidRPr="004C518C">
        <w:rPr>
          <w:rFonts w:ascii="Times New Roman" w:eastAsia="Calibri" w:hAnsi="Times New Roman" w:cs="Times New Roman"/>
          <w:sz w:val="28"/>
          <w:szCs w:val="28"/>
        </w:rPr>
        <w:t>№ 52-ФЗ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«О санитарно-эпидемиологическом благополучии населения»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источниками физических факторов воздействия на человека санитарным правилам.</w:t>
      </w:r>
    </w:p>
    <w:p w:rsidR="00043341" w:rsidRPr="00043341" w:rsidRDefault="00043341" w:rsidP="009167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пунктами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2.5, 2.7, 3.31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2.6.1.1192-03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«Гигиенические требования к устройству и эксплуатации рентгеновских кабинетов, аппаратов и проведению рентгенологических исследований» проведение рентгенологических исследований и рентгенотерапии лечебно-профилактическими учреждениями, другими юридическими и физическими лицами осуществляется при наличии санитарно-эпидемиологического заключения о соответствии условий труда с источниками ионизирующих излучений санитарным правилам.</w:t>
      </w:r>
    </w:p>
    <w:p w:rsidR="00043341" w:rsidRPr="00043341" w:rsidRDefault="00043341" w:rsidP="009167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 пунктами 1.7, 3.4.2. СП 2.6.1.2612-10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«Основные санитарные правила обеспечения радиационной безопасности (ОСПОРБ-99/2010)» Техногенные ИИИ и радиоактивные отходы подлежат обязательному контролю и учету. Обращение с техногенными ИИИ или радиоактивными отходами допускается только при наличии санитарно-эпидемиологического заключения о соответствии условий работы с ними санитарным правилам (далее - СЭЗ). Все виды обращения с источниками ионизирующего излучения, включая радиационный контроль, разрешаются только при наличии санитарно-эпидемиологического заключения о соответствии условий работы с источниками излучения санитарным правилам, которое выдают органы, осуществляющие федеральный </w:t>
      </w:r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государственный санитарно-эпидемиологический надзор по обращению юридического или физического лица.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Style w:val="blk"/>
          <w:rFonts w:ascii="Times New Roman" w:eastAsia="Calibri" w:hAnsi="Times New Roman" w:cs="Times New Roman"/>
          <w:sz w:val="28"/>
          <w:szCs w:val="28"/>
        </w:rPr>
        <w:t xml:space="preserve">Отсутствует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программа производственного радиационного контроля, не согласована с Управлением. 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 пунктом 6.4 СП 2.6.1.2612-10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«Основные санитарные правила обеспечения радиационной безопасности (ОСПОРБ-99/2010)» администрация радиационных объектов обязана разработать, утвердить и согласовать с органами, осуществляющими федеральный государственный санитарно-эпидемиологический надзор, план мероприятий по защите персонала в случае радиационной аварии.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Отсутствует удостоверение о повышении квалификации по программе «Радиационная безопасность и производственный контроль при эксплуатации медицинских рентгеновских аппаратов» у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рентгенолаборанта</w:t>
      </w:r>
      <w:proofErr w:type="spell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с пунктом 6.2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2.6.1.1192-03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«Гигиенические требования к устройству и эксплуатации рентгеновских кабинетов, аппаратов и проведению рентгенологических исследований»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работе по эксплуатации рентгеновского аппарата допускаются лица не моложе 18 лет, имеющие документ о соответствующей подготовке, прошедшие инструктаж и проверку знаний правил по обеспечению безопасности, действующих в учреждении документов и инструкций. Подготовка специалистов, участвующих в проведении рентгенологических исследований, осуществляется по программам, включающим раздел "Радиационная безопасность". Учреждение, проводящее обучение, должно иметь лицензию на образовательную деятельность.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В рентгеновских кабинетах световое табло (сигнал) «Не входить!» бело-красного цвета автоматически не загораются при включении анодного напряжения.  В рентгеновском кабинете отсутствует световое табло (сигнал) «Не входить!» бело-красного цвета.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с пунктом 3.20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2.6.1.1192-03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«Гигиенические требования к устройству и эксплуатации рентгеновских кабинетов, аппаратов и проведению рентгенологических исследований» у входа в процедурную кабинета рентгенодиагностики, флюорографии и в комнату управления кабинета рентгенотерапии на высоте 1,6 - 1,8 м от пола или над дверью должно размещаться световое табло (сигнал) "Не входить!" бело-красного цвета, автоматически загорающееся при включении анодного напряжения.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Допускается нанесение на световой сигнал знака радиационной опасности.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Нарушена целостность отделки стен рентгеновских кабинетов.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 пунктами 2.4, 4.1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2.6.1.1192-03 «Гигиенические требования к устройству и эксплуатации рентгеновских кабинетов, аппаратов и проведению рентгенологических исследований» безопасность работы в рентгеновском кабинете обеспечивается посредством: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применения рентгеновской аппаратуры и оборудования, отвечающих требованиям технических и санитарно-гигиенических нормативов, создающих требуемую клиническую результативность при обеспечении требований радиационной безопасности;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обоснованного набора помещений, их расположения и отделки;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использования оптимальных физико-технических параметров работы рентгеновских аппаратов при рентгенологических исследованиях;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применения стационарных, передвижных и индивидуальных средств радиационной защиты персонала, пациентов и населения;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обучения персонала безопасным методам и приемам проведения рентгенологических исследований;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соблюдения правил эксплуатации коммуникаций и оборудования;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дозами облучения персонала и пациентов;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осуществления производственного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выполнением норм и правил по обеспечению безопасности при рентгенологических исследованиях и рентгенотерапии.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Стационарные средства радиационной защиты процедурной рентгеновского кабинета (стены, пол, потолок, защитные двери, смотровые окна, ставни и др.) должны обеспечивать ослабление рентгеновского излучения до уровня, при котором не будет превышен основной предел дозы ПД для соответствующих категорий облучаемых лиц.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Дверь рентгеновского кабинета закрывается не плотно, при проведении рентгеновских исследований остается промежуток между косяком и дверью, что не соответствует требованиям к стационарной защите рентгеновского кабинета.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с пунктами 4.1, 4.3 </w:t>
      </w:r>
      <w:proofErr w:type="spellStart"/>
      <w:r w:rsidRPr="004C518C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 2.6.1.1192-03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«Гигиенические требования к устройству и эксплуатации рентгеновских кабинетов, аппаратов и проведению рентгенологических исследований»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>тационарные средства радиационной защиты процедурной рентгеновского кабинета (стены, пол, потолок, защитные двери, смотровые окна, ставни и др.) должны обеспечивать ослабление рентгеновского излучения до уровня, при котором не будет превышен основной предел дозы ПД для соответствующих категорий облучаемых лиц. Средства защиты, поставляемые в виде готовых изделий (защитные двери, защитные смотровые окна, ширмы, ставни, жалюзи и др.), должны обеспечивать уровень защиты (кратность ослабления), предусмотренной расчетом защиты, содержащимся в технологической части проекта рентгеновского кабинета. Стационарные средства защиты должны иметь защитную эффективность не ниже 0,25 мм по свинцовому эквиваленту.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 xml:space="preserve">В рентгеновском кабинете отсутствует раковина с подводом холодной и горячей воды. 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 пунктом 3.30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2.6.1.1192-03 «Гигиенические требования к устройству и эксплуатации рентгеновских кабинетов, аппаратов и проведению рентгенологических исследований»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процедурной, кроме процедурной для флюорографии и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рентгенооперационной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>, предусматривается установка раковины с подводом холодной и горячей воды.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Нарушена целостность отделки стен в хранилище открытых источников ионизирующего излучения.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 пунктом 3.8.14  СП 2.6.1.2612-10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"Основные санитарные правила обеспечения радиационной безопасности (ОСПОРБ-99/2010)" полы и стены помещений для работ II класса и 3-й зоны I класса, а также потолки в 1-й и 2-й зонах I класса должны быть покрыты слабо сорбирующими материалами, стойкими к дезактивации, и не иметь дефектов покрытия.</w:t>
      </w:r>
      <w:proofErr w:type="gramEnd"/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t>В помещении хранилища присутствуют посторонние предметы, не имеющие отношения к работе.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518C">
        <w:rPr>
          <w:rFonts w:ascii="Times New Roman" w:eastAsia="Calibri" w:hAnsi="Times New Roman" w:cs="Times New Roman"/>
          <w:sz w:val="28"/>
          <w:szCs w:val="28"/>
        </w:rPr>
        <w:t>с пунктом 3.14.11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СП 2.6.1.2612-10 "Основные санитарные правила обеспечения радиационной безопасности (ОСПОРБ-99/2010)" в помещениях для работ с радиоактивными веществами в открытом виде не допускается: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пребывание сотрудников без необходимых средств индивидуальной защиты;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прием пищи, курение, пользование косметическими принадлежностями;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- хранение пищевых продуктов, табачных изделий, домашней одежды, косметических принадлежностей и других предметов, не имеющих отношения к работе.</w:t>
      </w:r>
    </w:p>
    <w:p w:rsidR="00043341" w:rsidRPr="004C518C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18C">
        <w:rPr>
          <w:rFonts w:ascii="Times New Roman" w:eastAsia="Calibri" w:hAnsi="Times New Roman" w:cs="Times New Roman"/>
          <w:sz w:val="28"/>
          <w:szCs w:val="28"/>
        </w:rPr>
        <w:lastRenderedPageBreak/>
        <w:t>В помещении хранилища присутствует загрязнение рабочих поверхностей.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E8">
        <w:rPr>
          <w:rFonts w:ascii="Times New Roman" w:eastAsia="Calibri" w:hAnsi="Times New Roman" w:cs="Times New Roman"/>
          <w:sz w:val="28"/>
          <w:szCs w:val="28"/>
        </w:rPr>
        <w:t>с пунктом 3.8.4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СП 2.6.1.2612-10 "Основные санитарные правила обеспечения радиационной безопасности (ОСПОРБ-99/2010)" комплекс мероприятий по радиационной безопасности при работе с открытыми источниками излучения должен обеспечивать защиту персонала от внутреннего и внешнего облучения, ограничивать загрязнение воздуха и поверхностей рабочих помещений, кожных покровов и одежды персонала, а также объектов окружающей среды - воздуха, почвы, растительности как при нормальной эксплуатации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>, так и при проведении работ по ликвидации последствий радиационной аварии.</w:t>
      </w:r>
    </w:p>
    <w:p w:rsidR="00043341" w:rsidRPr="00E826E8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E8">
        <w:rPr>
          <w:rFonts w:ascii="Times New Roman" w:eastAsia="Calibri" w:hAnsi="Times New Roman" w:cs="Times New Roman"/>
          <w:sz w:val="28"/>
          <w:szCs w:val="28"/>
        </w:rPr>
        <w:t>Отсутствует лицензия на хранение рентгеновского аппарата.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E8">
        <w:rPr>
          <w:rFonts w:ascii="Times New Roman" w:eastAsia="Calibri" w:hAnsi="Times New Roman" w:cs="Times New Roman"/>
          <w:sz w:val="28"/>
          <w:szCs w:val="28"/>
        </w:rPr>
        <w:t xml:space="preserve">с подпунктом 39 п. 1 ст. 12 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04.05.2011г. № 99-ФЗ «О лицензировании отдельных видов деятельности»: в соответствии с настоящим Федеральным законом лицензированию подлежат следующие виды деятельности: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26E8">
        <w:rPr>
          <w:rFonts w:ascii="Times New Roman" w:eastAsia="Calibri" w:hAnsi="Times New Roman" w:cs="Times New Roman"/>
          <w:sz w:val="28"/>
          <w:szCs w:val="28"/>
        </w:rPr>
        <w:t>п. 1 ст. 10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09.01.1996 № 3-ФЗ (ред. от 11.06.2021) «О радиационной безопасности населения» научно-исследовательские и опытно-конструкторские работы в области обращения с источниками ионизирующего излучения, проектирование, сооружение источников ионизирующего излучения, конструирование и изготовление для них технологического оборудования, средств радиационной защиты, а также работы в области добычи, производства, транспортирования, хранения, использования, обслуживания, утилизации и захоронения источников ионизирующего излучения осуществляются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только на основании </w:t>
      </w:r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>специальных разрешений (лицензий), выданных органами, уполномоченными на ведение лицензирования.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E8">
        <w:rPr>
          <w:rFonts w:ascii="Times New Roman" w:eastAsia="Calibri" w:hAnsi="Times New Roman" w:cs="Times New Roman"/>
          <w:sz w:val="28"/>
          <w:szCs w:val="28"/>
        </w:rPr>
        <w:t xml:space="preserve">с пунктом 1.1 </w:t>
      </w:r>
      <w:proofErr w:type="spellStart"/>
      <w:r w:rsidRPr="00E826E8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E826E8">
        <w:rPr>
          <w:rFonts w:ascii="Times New Roman" w:eastAsia="Calibri" w:hAnsi="Times New Roman" w:cs="Times New Roman"/>
          <w:sz w:val="28"/>
          <w:szCs w:val="28"/>
        </w:rPr>
        <w:t xml:space="preserve"> 2.6.1.2523-09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«Нормы радиационной безопасности (НРБ-99/2009)» (Зарегистрировано в Минюсте России 14.08.2009 № 14534) требования и нормативы, установленные Нормами, являются обязательными для всех юридических и физических лиц, независимо от их подчиненности и формы собственности, в результате деятельности которых возможно облучение людей, а также для администраций субъектов Российской Федерации, местных органов власти, граждан Российской Федерации, иностранных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граждан и лиц без гражданства, проживающих на территории Российской Федерации.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E8">
        <w:rPr>
          <w:rFonts w:ascii="Times New Roman" w:eastAsia="Calibri" w:hAnsi="Times New Roman" w:cs="Times New Roman"/>
          <w:sz w:val="28"/>
          <w:szCs w:val="28"/>
        </w:rPr>
        <w:t>с пунктами 1.7; 1.8, 3.4.1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СП 2.6.1.2612-10 «Основные санитарные правила обеспечения радиационной безопасности (ОСПОРБ-99/2010)» (Зарегистрировано в Минюсте России 11.08.2010 № 18115) техногенные ИИИ и радиоактивные отходы подлежат обязательному контролю и учету. Обращение с техногенными ИИИ или радиоактивными отходами допускается только при наличии санитарно-эпидемиологического заключения о соответствии условий работы с ними санитарным правилам (далее - СЭЗ). Деятельность в области использования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техногенных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ИИИ и (или) обращения с радиоактивными отходами осуществляется при наличии специального разрешения (лицензии) на право осуществления этой деятельности, выданного органами, уполномоченными осуществлять лицензирование. Деятельность, связанная с использованием источников излучения, за исключением использования источников, упомянутых в пункте 1.8 Правил, не допускается без наличия лицензии на данный вид деятельности, выдаваемой в порядке, установленном законодательством Российской Федерации.</w:t>
      </w:r>
    </w:p>
    <w:p w:rsidR="00043341" w:rsidRPr="00E826E8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E8">
        <w:rPr>
          <w:rFonts w:ascii="Times New Roman" w:eastAsia="Calibri" w:hAnsi="Times New Roman" w:cs="Times New Roman"/>
          <w:sz w:val="28"/>
          <w:szCs w:val="28"/>
        </w:rPr>
        <w:t>Рентгенодиагностический кабинет не оборудован (автономной) обще-обменной приточно-вытяжной вентиляцией.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341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E8">
        <w:rPr>
          <w:rFonts w:ascii="Times New Roman" w:eastAsia="Calibri" w:hAnsi="Times New Roman" w:cs="Times New Roman"/>
          <w:sz w:val="28"/>
          <w:szCs w:val="28"/>
        </w:rPr>
        <w:t>с пунктами 3.28, 3.29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2.6.1.1192-03 «Гигиенические требования к устройству и эксплуатации рентгеновских кабинетов, аппаратов и проведению рентгенологических исследований» регламентируемая кратность воздухообмена, расчетные значения освещенности и температуры в помещениях рентгеновского отделения (кабинета) приведены в приложении 6. </w:t>
      </w: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Приток должен осуществляться в верхнюю зону, вытяжка - из нижней и верхней зон в отношении 50  10%. Во вновь строящихся зданиях вентиляция рентгеновских кабинетов общего назначения должна быть автономной.</w:t>
      </w:r>
      <w:proofErr w:type="gram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В действующих отделениях допускается наличие неавтономной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общеобменной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приточно-вытяжной вентиляции, за исключением отделений компьютерной томографии и рентгеновских отделений инфекционных больниц. Разрешается оборудование рентгеновских кабинетов (отделений) кондиционерами.</w:t>
      </w:r>
    </w:p>
    <w:p w:rsidR="00043341" w:rsidRPr="00E826E8" w:rsidRDefault="00043341" w:rsidP="0091677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E8">
        <w:rPr>
          <w:rFonts w:ascii="Times New Roman" w:eastAsia="Calibri" w:hAnsi="Times New Roman" w:cs="Times New Roman"/>
          <w:sz w:val="28"/>
          <w:szCs w:val="28"/>
        </w:rPr>
        <w:t>Технические паспорта на рентгеновские кабинеты не переоформлены.</w:t>
      </w:r>
    </w:p>
    <w:p w:rsidR="00043341" w:rsidRPr="00043341" w:rsidRDefault="0091677C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43341" w:rsidRPr="00043341">
        <w:rPr>
          <w:rFonts w:ascii="Times New Roman" w:eastAsia="Calibri" w:hAnsi="Times New Roman" w:cs="Times New Roman"/>
          <w:sz w:val="28"/>
          <w:szCs w:val="28"/>
        </w:rPr>
        <w:t>олжно быть:</w:t>
      </w:r>
    </w:p>
    <w:p w:rsidR="00043341" w:rsidRPr="00043341" w:rsidRDefault="00043341" w:rsidP="009167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43341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04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E8">
        <w:rPr>
          <w:rFonts w:ascii="Times New Roman" w:eastAsia="Calibri" w:hAnsi="Times New Roman" w:cs="Times New Roman"/>
          <w:sz w:val="28"/>
          <w:szCs w:val="28"/>
        </w:rPr>
        <w:t>с пунктами 10.21</w:t>
      </w:r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 xml:space="preserve"> 2.6.1.1192-03 «Гигиенические требования к устройству и эксплуатации рентгеновских кабинетов, аппаратов и проведению рентгенологических исследований» для оформления технического паспорта, санитарно-эпидемиологического заключения значения параметров нерадиационных факторов в рентгеновском кабинете (</w:t>
      </w:r>
      <w:proofErr w:type="spellStart"/>
      <w:r w:rsidRPr="00043341">
        <w:rPr>
          <w:rFonts w:ascii="Times New Roman" w:eastAsia="Calibri" w:hAnsi="Times New Roman" w:cs="Times New Roman"/>
          <w:sz w:val="28"/>
          <w:szCs w:val="28"/>
        </w:rPr>
        <w:t>электробезопасность</w:t>
      </w:r>
      <w:proofErr w:type="spellEnd"/>
      <w:r w:rsidRPr="00043341">
        <w:rPr>
          <w:rFonts w:ascii="Times New Roman" w:eastAsia="Calibri" w:hAnsi="Times New Roman" w:cs="Times New Roman"/>
          <w:sz w:val="28"/>
          <w:szCs w:val="28"/>
        </w:rPr>
        <w:t>, кратность воздухообмена, освещенность и др.) определяются аккредитованными в данной области измерений и лицензированными организациями по мере необходимости, но не реже одного раза в два года.</w:t>
      </w:r>
      <w:proofErr w:type="gramEnd"/>
    </w:p>
    <w:p w:rsidR="00885DB4" w:rsidRPr="00043341" w:rsidRDefault="00043341" w:rsidP="00043341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Наиболее часто выявляемыми нарушениями требований санитарного законодательства при проведении контрольно-надзорных мероприятий по разделу Защиты прав потребителя являются: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Нарушение сроков поставки предварительно оплаченного товара; 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Нарушение сроков возврата товар не надлежащего качества;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lastRenderedPageBreak/>
        <w:t>Не предоставление полной и достоверной информации о реализуемом товаре;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Односторонний отказ от передачи предварительно оплаченного товара;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Реализация товаров подлежащих обязательной маркировке средствами идентификации без соответствующей маркировки;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Жалобы на продавцов использующих мошеннические схемы; 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В сфере оказания услуг: включение в договор условий ущемляющих права потребителей;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оказание услуг не надлежащего качества;</w:t>
      </w:r>
    </w:p>
    <w:p w:rsidR="00043341" w:rsidRPr="00043341" w:rsidRDefault="00043341" w:rsidP="00043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нарушение сроков удовлетворения требований потребителя. </w:t>
      </w:r>
    </w:p>
    <w:p w:rsidR="00043341" w:rsidRPr="00043341" w:rsidRDefault="00043341" w:rsidP="00043341">
      <w:pPr>
        <w:pStyle w:val="section1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43341">
        <w:rPr>
          <w:sz w:val="28"/>
          <w:szCs w:val="28"/>
        </w:rPr>
        <w:t>Жилищно-коммунальные услуги наиболее востребованы у населения, а также данная сфера отношений является одной из базовых отраслей экономики Российской Федерации, обеспечивая население жизненно важными условиями.</w:t>
      </w:r>
    </w:p>
    <w:p w:rsidR="00043341" w:rsidRPr="00043341" w:rsidRDefault="00043341" w:rsidP="0004334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3341">
        <w:rPr>
          <w:rFonts w:ascii="Times New Roman" w:hAnsi="Times New Roman" w:cs="Times New Roman"/>
          <w:sz w:val="28"/>
          <w:szCs w:val="28"/>
          <w:lang w:eastAsia="ru-RU"/>
        </w:rPr>
        <w:t xml:space="preserve">Подавляющее большинство обращений связано с предоставлением коммунальных услуг ненадлежащего качества,  с правильностью начисления платы за жилищно-коммунальные услуги, выставлением к оплате задолженности за услуги ЖКХ, в ряде случаев потребители заявляли о неправомерном без предварительного уведомления отключении подачи коммунального ресурса (бытового газа, электроэнергии), ненадлежащее содержание общего имущества, ненадлежащее содержание общего имущества, неправомерное выставление платы за обслуживание </w:t>
      </w:r>
      <w:proofErr w:type="spellStart"/>
      <w:r w:rsidRPr="00043341">
        <w:rPr>
          <w:rFonts w:ascii="Times New Roman" w:hAnsi="Times New Roman" w:cs="Times New Roman"/>
          <w:sz w:val="28"/>
          <w:szCs w:val="28"/>
          <w:lang w:eastAsia="ru-RU"/>
        </w:rPr>
        <w:t>домофона</w:t>
      </w:r>
      <w:proofErr w:type="spellEnd"/>
      <w:r w:rsidRPr="00043341">
        <w:rPr>
          <w:rFonts w:ascii="Times New Roman" w:hAnsi="Times New Roman" w:cs="Times New Roman"/>
          <w:sz w:val="28"/>
          <w:szCs w:val="28"/>
          <w:lang w:eastAsia="ru-RU"/>
        </w:rPr>
        <w:t>, навязывание дополнительных  услуг по техническому</w:t>
      </w:r>
      <w:proofErr w:type="gramEnd"/>
      <w:r w:rsidRPr="00043341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обслуживанию индивидуальных  приборов учета от имени известных компаний.</w:t>
      </w:r>
    </w:p>
    <w:p w:rsidR="00043341" w:rsidRPr="00043341" w:rsidRDefault="00043341" w:rsidP="00043341">
      <w:pPr>
        <w:spacing w:after="0" w:line="360" w:lineRule="auto"/>
        <w:ind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Основные причины обращений граждан в сфере оказания туристских услуг является:</w:t>
      </w:r>
    </w:p>
    <w:p w:rsidR="00043341" w:rsidRPr="00043341" w:rsidRDefault="00043341" w:rsidP="00043341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- не качественное оказание услуг;</w:t>
      </w:r>
    </w:p>
    <w:p w:rsidR="00043341" w:rsidRPr="00043341" w:rsidRDefault="00043341" w:rsidP="00043341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- не предоставление  необходимой и достоверной информации об исполнителе и оказываемых услугах;</w:t>
      </w:r>
    </w:p>
    <w:p w:rsidR="00043341" w:rsidRPr="00043341" w:rsidRDefault="00043341" w:rsidP="00043341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lastRenderedPageBreak/>
        <w:t>- включение в договор условий, ущемляющих права потребителей по сравнению с правилами, установленными законодательством в области защиты прав потребителей;</w:t>
      </w:r>
    </w:p>
    <w:p w:rsidR="00043341" w:rsidRPr="00043341" w:rsidRDefault="00043341" w:rsidP="00043341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>- на отказ в расторжении договора  и возврате денежных средств за оказание некачественной услуги.</w:t>
      </w:r>
    </w:p>
    <w:p w:rsidR="00043341" w:rsidRPr="00043341" w:rsidRDefault="00043341" w:rsidP="00043341">
      <w:pPr>
        <w:numPr>
          <w:ilvl w:val="2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1">
        <w:rPr>
          <w:rFonts w:ascii="Times New Roman" w:hAnsi="Times New Roman" w:cs="Times New Roman"/>
          <w:sz w:val="28"/>
          <w:szCs w:val="28"/>
        </w:rPr>
        <w:t xml:space="preserve">            Кроме того, актуальными были обращения граждан  по фактам уклонения  туроператорами от возврата стоимости туристического продукта вследствие невозможности его использования </w:t>
      </w:r>
      <w:proofErr w:type="gramStart"/>
      <w:r w:rsidRPr="00043341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043341">
        <w:rPr>
          <w:rFonts w:ascii="Times New Roman" w:hAnsi="Times New Roman" w:cs="Times New Roman"/>
          <w:sz w:val="28"/>
          <w:szCs w:val="28"/>
        </w:rPr>
        <w:t xml:space="preserve"> возникновения </w:t>
      </w:r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обстоятельств, свидетельствующих об ограничении возможности въезда туристов в страну (место) временного пребывания</w:t>
      </w:r>
      <w:r w:rsidRPr="00043341">
        <w:rPr>
          <w:rFonts w:ascii="Times New Roman" w:hAnsi="Times New Roman" w:cs="Times New Roman"/>
          <w:sz w:val="28"/>
          <w:szCs w:val="28"/>
        </w:rPr>
        <w:t xml:space="preserve">, в связи с чем потребителям были даны разъяснения Постановления Правительства  РФ </w:t>
      </w:r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20.07.2020 № 1073 «Об утверждении </w:t>
      </w:r>
      <w:r w:rsidRPr="00043341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 особенностях на 2020 и 2021 годы исполнения и </w:t>
      </w:r>
      <w:proofErr w:type="gramStart"/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расторжения договора о реализации туристского продукта, заключенного по 31 марта 2020 г. включительно, туроператором, осуществляющим деятельность в сфере внутреннего туризма, и (или) въездного туризма, и (или) выездного туризма, либо </w:t>
      </w:r>
      <w:proofErr w:type="spellStart"/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турагентом</w:t>
      </w:r>
      <w:proofErr w:type="spellEnd"/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</w:t>
      </w:r>
      <w:proofErr w:type="gramEnd"/>
      <w:r w:rsidRPr="00043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иные сроки равнозначного туристского продукта, в том числе при наличии обстоятельств, указанных в части третьей статьи 14 Федерального закона "Об основах туристской деятельности в Российской Федерации"».</w:t>
      </w:r>
    </w:p>
    <w:sectPr w:rsidR="00043341" w:rsidRPr="00043341" w:rsidSect="00E30003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77C" w:rsidRDefault="0091677C" w:rsidP="00363AE6">
      <w:pPr>
        <w:spacing w:after="0" w:line="240" w:lineRule="auto"/>
      </w:pPr>
      <w:r>
        <w:separator/>
      </w:r>
    </w:p>
  </w:endnote>
  <w:endnote w:type="continuationSeparator" w:id="0">
    <w:p w:rsidR="0091677C" w:rsidRDefault="0091677C" w:rsidP="0036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77C" w:rsidRDefault="0091677C" w:rsidP="00363AE6">
      <w:pPr>
        <w:spacing w:after="0" w:line="240" w:lineRule="auto"/>
      </w:pPr>
      <w:r>
        <w:separator/>
      </w:r>
    </w:p>
  </w:footnote>
  <w:footnote w:type="continuationSeparator" w:id="0">
    <w:p w:rsidR="0091677C" w:rsidRDefault="0091677C" w:rsidP="0036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1983"/>
      <w:docPartObj>
        <w:docPartGallery w:val="Page Numbers (Top of Page)"/>
        <w:docPartUnique/>
      </w:docPartObj>
    </w:sdtPr>
    <w:sdtContent>
      <w:p w:rsidR="0091677C" w:rsidRDefault="0091677C">
        <w:pPr>
          <w:pStyle w:val="a6"/>
          <w:jc w:val="center"/>
        </w:pPr>
        <w:fldSimple w:instr=" PAGE   \* MERGEFORMAT ">
          <w:r w:rsidR="00FF72F9">
            <w:rPr>
              <w:noProof/>
            </w:rPr>
            <w:t>42</w:t>
          </w:r>
        </w:fldSimple>
      </w:p>
    </w:sdtContent>
  </w:sdt>
  <w:p w:rsidR="0091677C" w:rsidRDefault="009167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4C161C"/>
    <w:multiLevelType w:val="hybridMultilevel"/>
    <w:tmpl w:val="61AA29C6"/>
    <w:lvl w:ilvl="0" w:tplc="8EF0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FA3E80"/>
    <w:multiLevelType w:val="hybridMultilevel"/>
    <w:tmpl w:val="BD62CC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E651D14"/>
    <w:multiLevelType w:val="hybridMultilevel"/>
    <w:tmpl w:val="B906AE3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FD40D1A"/>
    <w:multiLevelType w:val="hybridMultilevel"/>
    <w:tmpl w:val="ACB2C4C4"/>
    <w:lvl w:ilvl="0" w:tplc="711CD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640CA2"/>
    <w:multiLevelType w:val="hybridMultilevel"/>
    <w:tmpl w:val="61AA29C6"/>
    <w:lvl w:ilvl="0" w:tplc="8EF0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151748"/>
    <w:multiLevelType w:val="hybridMultilevel"/>
    <w:tmpl w:val="CE1CAF5A"/>
    <w:lvl w:ilvl="0" w:tplc="7800378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B47F8"/>
    <w:multiLevelType w:val="hybridMultilevel"/>
    <w:tmpl w:val="54BE727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DB4"/>
    <w:rsid w:val="00043341"/>
    <w:rsid w:val="00055602"/>
    <w:rsid w:val="000A37F5"/>
    <w:rsid w:val="00101B04"/>
    <w:rsid w:val="00110E24"/>
    <w:rsid w:val="00141B7F"/>
    <w:rsid w:val="001A4E0A"/>
    <w:rsid w:val="001B5E71"/>
    <w:rsid w:val="001F4927"/>
    <w:rsid w:val="00233CEF"/>
    <w:rsid w:val="002539DF"/>
    <w:rsid w:val="002C5DC0"/>
    <w:rsid w:val="0031149F"/>
    <w:rsid w:val="00350825"/>
    <w:rsid w:val="00363AE6"/>
    <w:rsid w:val="00386F2B"/>
    <w:rsid w:val="0040537F"/>
    <w:rsid w:val="00413027"/>
    <w:rsid w:val="004C518C"/>
    <w:rsid w:val="004F0E80"/>
    <w:rsid w:val="004F6E9F"/>
    <w:rsid w:val="0055485D"/>
    <w:rsid w:val="0057123D"/>
    <w:rsid w:val="005E1D29"/>
    <w:rsid w:val="00610BD0"/>
    <w:rsid w:val="006200F9"/>
    <w:rsid w:val="007160F0"/>
    <w:rsid w:val="008273D0"/>
    <w:rsid w:val="008563E4"/>
    <w:rsid w:val="00866B71"/>
    <w:rsid w:val="00885DB4"/>
    <w:rsid w:val="008C25E2"/>
    <w:rsid w:val="0091677C"/>
    <w:rsid w:val="00934EB6"/>
    <w:rsid w:val="00954B6B"/>
    <w:rsid w:val="0097524D"/>
    <w:rsid w:val="009A40A8"/>
    <w:rsid w:val="009C1BC8"/>
    <w:rsid w:val="009C24B1"/>
    <w:rsid w:val="00AB3E0D"/>
    <w:rsid w:val="00AD3569"/>
    <w:rsid w:val="00B53D6C"/>
    <w:rsid w:val="00B54C7B"/>
    <w:rsid w:val="00BC705F"/>
    <w:rsid w:val="00C81C79"/>
    <w:rsid w:val="00CC2CCE"/>
    <w:rsid w:val="00D22513"/>
    <w:rsid w:val="00E01EDE"/>
    <w:rsid w:val="00E30003"/>
    <w:rsid w:val="00E420D1"/>
    <w:rsid w:val="00E826E8"/>
    <w:rsid w:val="00EA6D53"/>
    <w:rsid w:val="00EB3FA2"/>
    <w:rsid w:val="00EF682F"/>
    <w:rsid w:val="00F14C92"/>
    <w:rsid w:val="00F24125"/>
    <w:rsid w:val="00F434CA"/>
    <w:rsid w:val="00F53FFB"/>
    <w:rsid w:val="00FE05BE"/>
    <w:rsid w:val="00FF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8C"/>
  </w:style>
  <w:style w:type="paragraph" w:styleId="1">
    <w:name w:val="heading 1"/>
    <w:basedOn w:val="a"/>
    <w:next w:val="a"/>
    <w:link w:val="10"/>
    <w:qFormat/>
    <w:rsid w:val="00866B7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5D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5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8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8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DB4"/>
  </w:style>
  <w:style w:type="character" w:customStyle="1" w:styleId="a4">
    <w:name w:val="Абзац списка Знак"/>
    <w:link w:val="a3"/>
    <w:uiPriority w:val="34"/>
    <w:rsid w:val="009C2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B71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8">
    <w:name w:val="Hyperlink"/>
    <w:basedOn w:val="a0"/>
    <w:unhideWhenUsed/>
    <w:rsid w:val="00866B71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F5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3FFB"/>
  </w:style>
  <w:style w:type="character" w:customStyle="1" w:styleId="blk">
    <w:name w:val="blk"/>
    <w:basedOn w:val="a0"/>
    <w:rsid w:val="00043341"/>
  </w:style>
  <w:style w:type="paragraph" w:customStyle="1" w:styleId="section1">
    <w:name w:val="section1"/>
    <w:basedOn w:val="a"/>
    <w:rsid w:val="0004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hyperlink" Target="consultantplus://offline/ref=5FF8A7F0A66BDB78F043EC9F7D99F5855274576231EDB882F7A0807BF42FA059EE987BCF329F305E6D44BC58B1E9B3A041656842BDE282DB4C64H" TargetMode="External"/><Relationship Id="rId18" Type="http://schemas.openxmlformats.org/officeDocument/2006/relationships/hyperlink" Target="consultantplus://offline/ref=6D94A6B13E5F8E8F7383E1F07888308BA9B4DB6AC7A22C01ACD61A7DED65FF4957896B146320B2C694F764D3AF2F335CCD7D7E13CEE9E355yAi0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40677FC8C6E6BE178D8AA1DA66958863A1E1A0DFA020777E88879B09D491C5268075177337976AA2A146F6B83D1EB52833FE7F78D64919m1J4N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consultant.ru/document/cons_doc_LAW_8368/d3618b9062472ca3182811e431fa7d71b532e447/" TargetMode="External"/><Relationship Id="rId17" Type="http://schemas.openxmlformats.org/officeDocument/2006/relationships/hyperlink" Target="consultantplus://offline/ref=AD0DD5B2237FCC860EEF82486A9B710FCC0FD95A0A5662E4A39151F2A296EB0118D226BCA1B22195821E2B4E9D9724ADA97F87700233F2F4GBDD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51B2D060B1A5045884ED050492FD690F897F4B146E5AA33E6C9657005972D28A50CF4DE5FF9E12A24DCD85927E06207F96B3210C71D11DtErBI" TargetMode="External"/><Relationship Id="rId20" Type="http://schemas.openxmlformats.org/officeDocument/2006/relationships/hyperlink" Target="consultantplus://offline/ref=207497BCEC5ABE0E892715D5EF58B99F853EEBA032EC7FCE93FD8F4D631EAD2AD399F74647F5A10405090B31241FA9777740B4853D426F9C2END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8368/d3618b9062472ca3182811e431fa7d71b532e447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F8A7F0A66BDB78F043EC9F7D99F5855274576231EDB882F7A0807BF42FA059EE987BCF329F325F6044BC58B1E9B3A041656842BDE282DB4C64H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onsultant.ru/document/cons_doc_LAW_8368/" TargetMode="External"/><Relationship Id="rId19" Type="http://schemas.openxmlformats.org/officeDocument/2006/relationships/hyperlink" Target="consultantplus://offline/ref=6200BA25B0F0A69F3D63AC5BE00E5CD7262C12954CE77550CE3BC52B87696608337A8AAB807BF74F4FCDAE44S8m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F48C03E0CD8F40B11C4D2291348FE8FD7198D945D07AEA8A75BD2E7A8FD3E6BB82783F465DC1CCzDF0O" TargetMode="External"/><Relationship Id="rId14" Type="http://schemas.openxmlformats.org/officeDocument/2006/relationships/hyperlink" Target="consultantplus://offline/ref=5FF8A7F0A66BDB78F043EC9F7D99F5855274576231EDB882F7A0807BF42FA059EE987BCF329F325F6744BC58B1E9B3A041656842BDE282DB4C64H" TargetMode="External"/><Relationship Id="rId22" Type="http://schemas.openxmlformats.org/officeDocument/2006/relationships/hyperlink" Target="consultantplus://offline/ref=0240677FC8C6E6BE178D8AA1DA66958863A1E1A0DFA020777E88879B09D491C5268075177337976AA2A146F6B83D1EB52833FE7F78D64919m1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10840</Words>
  <Characters>61789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2023-03-30T09:05:00Z</cp:lastPrinted>
  <dcterms:created xsi:type="dcterms:W3CDTF">2023-03-30T12:53:00Z</dcterms:created>
  <dcterms:modified xsi:type="dcterms:W3CDTF">2023-03-30T12:53:00Z</dcterms:modified>
</cp:coreProperties>
</file>