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B8" w:rsidRDefault="005D57B8" w:rsidP="005D57B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57B8">
        <w:rPr>
          <w:b/>
          <w:sz w:val="28"/>
          <w:szCs w:val="28"/>
        </w:rPr>
        <w:t>Программа мониторинга за факторами среды обитания</w:t>
      </w:r>
    </w:p>
    <w:p w:rsidR="005D57B8" w:rsidRPr="005D57B8" w:rsidRDefault="005D57B8" w:rsidP="005D57B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D57B8" w:rsidRDefault="005D57B8" w:rsidP="005D57B8">
      <w:pPr>
        <w:spacing w:line="360" w:lineRule="auto"/>
        <w:ind w:firstLine="709"/>
        <w:jc w:val="both"/>
        <w:rPr>
          <w:sz w:val="28"/>
          <w:szCs w:val="28"/>
        </w:rPr>
      </w:pPr>
      <w:r w:rsidRPr="00C83DE7">
        <w:rPr>
          <w:sz w:val="28"/>
          <w:szCs w:val="28"/>
        </w:rPr>
        <w:t xml:space="preserve">За 2017г. Программа мониторинга за факторами среды обитания включает – 42 мониторинговых (контрольных) точки по исследованию атмосферного воздуха; 201 точку по исследованию почвы;   735 мониторинговых точек по исследованию воды, в т.ч. (вода поверхностных водоемов – 148; вода источников водоснабжения -137; РЧВ – 24; водопроводная сеть – 324; горячее водоснабжение – 73; вода источников нецентрализованного водоснабжения – 22; вода разводящей сети к Чемпионату по футболу 2018 – 7).  </w:t>
      </w:r>
    </w:p>
    <w:p w:rsidR="00585288" w:rsidRDefault="00585288"/>
    <w:sectPr w:rsidR="00585288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57B8"/>
    <w:rsid w:val="00585288"/>
    <w:rsid w:val="005D57B8"/>
    <w:rsid w:val="006A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Home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2017-10-30T06:49:00Z</dcterms:created>
  <dcterms:modified xsi:type="dcterms:W3CDTF">2017-10-30T06:49:00Z</dcterms:modified>
</cp:coreProperties>
</file>